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799F" w14:textId="77777777" w:rsidR="0071311E" w:rsidRDefault="0071311E" w:rsidP="00211FDB">
      <w:pPr>
        <w:spacing w:after="0"/>
        <w:rPr>
          <w:b/>
          <w:color w:val="0070C0"/>
          <w:sz w:val="32"/>
          <w:szCs w:val="32"/>
          <w:lang w:val="en-GB"/>
        </w:rPr>
      </w:pPr>
    </w:p>
    <w:p w14:paraId="36FA8256" w14:textId="384881D3" w:rsidR="00840F1C" w:rsidRPr="0071311E" w:rsidRDefault="0071311E" w:rsidP="00211FDB">
      <w:pPr>
        <w:spacing w:after="0"/>
        <w:rPr>
          <w:b/>
          <w:bCs/>
          <w:lang w:val="en-GB"/>
        </w:rPr>
      </w:pPr>
      <w:r>
        <w:rPr>
          <w:lang w:val="en-GB"/>
        </w:rPr>
        <w:br/>
      </w:r>
      <w:r w:rsidR="00FC7279" w:rsidRPr="0071311E">
        <w:rPr>
          <w:b/>
          <w:bCs/>
          <w:lang w:val="en-GB"/>
        </w:rPr>
        <w:t>When</w:t>
      </w:r>
      <w:r w:rsidR="00432155" w:rsidRPr="0071311E">
        <w:rPr>
          <w:b/>
          <w:bCs/>
          <w:lang w:val="en-GB"/>
        </w:rPr>
        <w:t xml:space="preserve"> schools are closed because of a</w:t>
      </w:r>
      <w:r w:rsidR="007C2B1F" w:rsidRPr="0071311E">
        <w:rPr>
          <w:b/>
          <w:bCs/>
          <w:lang w:val="en-GB"/>
        </w:rPr>
        <w:t>n</w:t>
      </w:r>
      <w:r w:rsidR="00432155" w:rsidRPr="0071311E">
        <w:rPr>
          <w:b/>
          <w:bCs/>
          <w:lang w:val="en-GB"/>
        </w:rPr>
        <w:t xml:space="preserve"> epidemic </w:t>
      </w:r>
      <w:r w:rsidR="007C2B1F" w:rsidRPr="0071311E">
        <w:rPr>
          <w:b/>
          <w:bCs/>
          <w:lang w:val="en-GB"/>
        </w:rPr>
        <w:t xml:space="preserve">or pandemic </w:t>
      </w:r>
      <w:r w:rsidR="00432155" w:rsidRPr="0071311E">
        <w:rPr>
          <w:b/>
          <w:bCs/>
          <w:lang w:val="en-GB"/>
        </w:rPr>
        <w:t>crisis</w:t>
      </w:r>
      <w:r w:rsidR="00DB4665" w:rsidRPr="0071311E">
        <w:rPr>
          <w:b/>
          <w:bCs/>
          <w:lang w:val="en-GB"/>
        </w:rPr>
        <w:t xml:space="preserve"> like </w:t>
      </w:r>
      <w:r w:rsidR="00974A12" w:rsidRPr="0071311E">
        <w:rPr>
          <w:b/>
          <w:bCs/>
          <w:lang w:val="en-GB"/>
        </w:rPr>
        <w:t>COVID-19</w:t>
      </w:r>
      <w:r w:rsidR="00432155" w:rsidRPr="0071311E">
        <w:rPr>
          <w:b/>
          <w:bCs/>
          <w:lang w:val="en-GB"/>
        </w:rPr>
        <w:t xml:space="preserve">, it is important to </w:t>
      </w:r>
      <w:r w:rsidR="008A5887" w:rsidRPr="0071311E">
        <w:rPr>
          <w:b/>
          <w:bCs/>
          <w:lang w:val="en-GB"/>
        </w:rPr>
        <w:t xml:space="preserve">continue to </w:t>
      </w:r>
      <w:r w:rsidR="00432155" w:rsidRPr="0071311E">
        <w:rPr>
          <w:b/>
          <w:bCs/>
          <w:lang w:val="en-GB"/>
        </w:rPr>
        <w:t xml:space="preserve">provide </w:t>
      </w:r>
      <w:r w:rsidR="00CB3C8C" w:rsidRPr="0071311E">
        <w:rPr>
          <w:b/>
          <w:bCs/>
          <w:lang w:val="en-GB"/>
        </w:rPr>
        <w:t xml:space="preserve">specific </w:t>
      </w:r>
      <w:hyperlink r:id="rId8" w:history="1">
        <w:r w:rsidR="00432155" w:rsidRPr="0071311E">
          <w:rPr>
            <w:rStyle w:val="Lienhypertexte"/>
            <w:b/>
            <w:bCs/>
            <w:lang w:val="en-GB"/>
          </w:rPr>
          <w:t>hygiene and health education</w:t>
        </w:r>
      </w:hyperlink>
      <w:r w:rsidR="003C4B08" w:rsidRPr="0071311E">
        <w:rPr>
          <w:b/>
          <w:bCs/>
          <w:lang w:val="en-GB"/>
        </w:rPr>
        <w:t>. S</w:t>
      </w:r>
      <w:r w:rsidR="00432155" w:rsidRPr="0071311E">
        <w:rPr>
          <w:b/>
          <w:bCs/>
          <w:lang w:val="en-GB"/>
        </w:rPr>
        <w:t xml:space="preserve">tudents </w:t>
      </w:r>
      <w:r w:rsidR="003C4B08" w:rsidRPr="0071311E">
        <w:rPr>
          <w:b/>
          <w:bCs/>
          <w:lang w:val="en-GB"/>
        </w:rPr>
        <w:t>need to understand</w:t>
      </w:r>
      <w:r w:rsidR="00864AC6" w:rsidRPr="0071311E">
        <w:rPr>
          <w:b/>
          <w:bCs/>
          <w:lang w:val="en-GB"/>
        </w:rPr>
        <w:t xml:space="preserve"> </w:t>
      </w:r>
      <w:r w:rsidR="003C4B08" w:rsidRPr="0071311E">
        <w:rPr>
          <w:b/>
          <w:bCs/>
          <w:lang w:val="en-GB"/>
        </w:rPr>
        <w:t>how to</w:t>
      </w:r>
      <w:r w:rsidR="00C66189" w:rsidRPr="0071311E">
        <w:rPr>
          <w:b/>
          <w:bCs/>
          <w:lang w:val="en-GB"/>
        </w:rPr>
        <w:t xml:space="preserve"> </w:t>
      </w:r>
      <w:hyperlink r:id="rId9" w:history="1">
        <w:r w:rsidR="00C66189" w:rsidRPr="0071311E">
          <w:rPr>
            <w:rStyle w:val="Lienhypertexte"/>
            <w:b/>
            <w:bCs/>
            <w:lang w:val="en-GB"/>
          </w:rPr>
          <w:t>prevent</w:t>
        </w:r>
        <w:r w:rsidR="003C4B08" w:rsidRPr="0071311E">
          <w:rPr>
            <w:rStyle w:val="Lienhypertexte"/>
            <w:b/>
            <w:bCs/>
            <w:lang w:val="en-GB"/>
          </w:rPr>
          <w:t xml:space="preserve"> or reduce the spread of the disease</w:t>
        </w:r>
      </w:hyperlink>
      <w:r w:rsidR="00C66189" w:rsidRPr="0071311E">
        <w:rPr>
          <w:b/>
          <w:bCs/>
          <w:lang w:val="en-GB"/>
        </w:rPr>
        <w:t xml:space="preserve"> </w:t>
      </w:r>
      <w:r w:rsidR="00864AC6" w:rsidRPr="0071311E">
        <w:rPr>
          <w:b/>
          <w:bCs/>
          <w:lang w:val="en-GB"/>
        </w:rPr>
        <w:t xml:space="preserve">in their immediate environment, </w:t>
      </w:r>
      <w:r w:rsidR="00C66189" w:rsidRPr="0071311E">
        <w:rPr>
          <w:b/>
          <w:bCs/>
          <w:lang w:val="en-GB"/>
        </w:rPr>
        <w:t xml:space="preserve">but </w:t>
      </w:r>
      <w:r w:rsidR="00864AC6" w:rsidRPr="0071311E">
        <w:rPr>
          <w:b/>
          <w:bCs/>
          <w:lang w:val="en-GB"/>
        </w:rPr>
        <w:t>they also need to learn about the mechanisms of diseases and epidemics more broadly</w:t>
      </w:r>
      <w:r w:rsidR="00C66189" w:rsidRPr="0071311E">
        <w:rPr>
          <w:b/>
          <w:bCs/>
          <w:lang w:val="en-GB"/>
        </w:rPr>
        <w:t>.</w:t>
      </w:r>
    </w:p>
    <w:p w14:paraId="01572889" w14:textId="550D768A" w:rsidR="00864AC6" w:rsidRPr="0071311E" w:rsidRDefault="00864AC6" w:rsidP="00211FDB">
      <w:pPr>
        <w:spacing w:after="0"/>
        <w:rPr>
          <w:b/>
          <w:bCs/>
          <w:lang w:val="en-GB"/>
        </w:rPr>
      </w:pPr>
    </w:p>
    <w:p w14:paraId="008980A7" w14:textId="6A0BF2D6" w:rsidR="00864AC6" w:rsidRPr="0071311E" w:rsidRDefault="007C2B1F" w:rsidP="00211FDB">
      <w:pPr>
        <w:spacing w:after="0"/>
        <w:rPr>
          <w:b/>
          <w:bCs/>
          <w:lang w:val="en-GB"/>
        </w:rPr>
      </w:pPr>
      <w:r w:rsidRPr="0071311E">
        <w:rPr>
          <w:b/>
          <w:bCs/>
          <w:lang w:val="en-GB"/>
        </w:rPr>
        <w:t>Below are four s</w:t>
      </w:r>
      <w:r w:rsidR="002E55A0" w:rsidRPr="0071311E">
        <w:rPr>
          <w:b/>
          <w:bCs/>
          <w:lang w:val="en-GB"/>
        </w:rPr>
        <w:t>uggestion</w:t>
      </w:r>
      <w:r w:rsidRPr="0071311E">
        <w:rPr>
          <w:b/>
          <w:bCs/>
          <w:lang w:val="en-GB"/>
        </w:rPr>
        <w:t xml:space="preserve">s that education authorities might find helpful when </w:t>
      </w:r>
      <w:r w:rsidR="002E55A0" w:rsidRPr="0071311E">
        <w:rPr>
          <w:b/>
          <w:bCs/>
          <w:lang w:val="en-GB"/>
        </w:rPr>
        <w:t>planning health education in the face of an</w:t>
      </w:r>
      <w:r w:rsidRPr="0071311E">
        <w:rPr>
          <w:b/>
          <w:bCs/>
          <w:lang w:val="en-GB"/>
        </w:rPr>
        <w:t xml:space="preserve"> epidemic</w:t>
      </w:r>
      <w:r w:rsidR="002E55A0" w:rsidRPr="0071311E">
        <w:rPr>
          <w:b/>
          <w:bCs/>
          <w:lang w:val="en-GB"/>
        </w:rPr>
        <w:t xml:space="preserve"> crisis.</w:t>
      </w:r>
    </w:p>
    <w:p w14:paraId="7F9ED42E" w14:textId="77777777" w:rsidR="00864AC6" w:rsidRPr="00432155" w:rsidRDefault="00864AC6" w:rsidP="00211FDB">
      <w:pPr>
        <w:spacing w:after="0"/>
        <w:rPr>
          <w:lang w:val="en-GB"/>
        </w:rPr>
      </w:pPr>
    </w:p>
    <w:p w14:paraId="4366FAD4" w14:textId="77777777" w:rsidR="00FC7279" w:rsidRPr="0071311E" w:rsidRDefault="00FC7279" w:rsidP="00FC7279">
      <w:pPr>
        <w:pStyle w:val="Paragraphedeliste"/>
        <w:numPr>
          <w:ilvl w:val="0"/>
          <w:numId w:val="6"/>
        </w:numPr>
        <w:spacing w:after="120" w:line="240" w:lineRule="auto"/>
        <w:ind w:left="0"/>
        <w:rPr>
          <w:b/>
          <w:color w:val="11A0AA"/>
          <w:sz w:val="28"/>
          <w:szCs w:val="28"/>
          <w:lang w:val="en-GB"/>
        </w:rPr>
      </w:pPr>
      <w:r w:rsidRPr="0071311E">
        <w:rPr>
          <w:b/>
          <w:color w:val="11A0AA"/>
          <w:sz w:val="28"/>
          <w:szCs w:val="28"/>
          <w:lang w:val="en-GB"/>
        </w:rPr>
        <w:t>Coordinate responses with other stakeholders</w:t>
      </w:r>
    </w:p>
    <w:p w14:paraId="33681865" w14:textId="010786BC" w:rsidR="00F2561A" w:rsidRDefault="00FC7279" w:rsidP="00FC7279">
      <w:pPr>
        <w:spacing w:after="120" w:line="240" w:lineRule="auto"/>
        <w:rPr>
          <w:lang w:val="en-GB"/>
        </w:rPr>
      </w:pPr>
      <w:r>
        <w:rPr>
          <w:lang w:val="en-GB"/>
        </w:rPr>
        <w:t xml:space="preserve">An effective education response to </w:t>
      </w:r>
      <w:r w:rsidR="0020198E">
        <w:rPr>
          <w:lang w:val="en-GB"/>
        </w:rPr>
        <w:t>an epidemic</w:t>
      </w:r>
      <w:r>
        <w:rPr>
          <w:lang w:val="en-GB"/>
        </w:rPr>
        <w:t xml:space="preserve"> requires </w:t>
      </w:r>
      <w:r w:rsidR="0020198E">
        <w:rPr>
          <w:lang w:val="en-GB"/>
        </w:rPr>
        <w:t>coordination</w:t>
      </w:r>
      <w:r>
        <w:rPr>
          <w:lang w:val="en-GB"/>
        </w:rPr>
        <w:t>, bringing together the strengths and expertise of all partners</w:t>
      </w:r>
      <w:r w:rsidR="0020198E">
        <w:rPr>
          <w:lang w:val="en-GB"/>
        </w:rPr>
        <w:t>. Aside from the ministry of education (</w:t>
      </w:r>
      <w:proofErr w:type="spellStart"/>
      <w:r w:rsidR="0020198E">
        <w:rPr>
          <w:lang w:val="en-GB"/>
        </w:rPr>
        <w:t>MoE</w:t>
      </w:r>
      <w:proofErr w:type="spellEnd"/>
      <w:r w:rsidR="0020198E">
        <w:rPr>
          <w:lang w:val="en-GB"/>
        </w:rPr>
        <w:t>), the actors involved might include</w:t>
      </w:r>
      <w:r w:rsidR="00CB3C8C">
        <w:rPr>
          <w:lang w:val="en-GB"/>
        </w:rPr>
        <w:t xml:space="preserve"> the following</w:t>
      </w:r>
      <w:r w:rsidR="00F2561A">
        <w:rPr>
          <w:lang w:val="en-GB"/>
        </w:rPr>
        <w:t>:</w:t>
      </w:r>
    </w:p>
    <w:p w14:paraId="13F1B521" w14:textId="21C04E63" w:rsidR="00F2561A" w:rsidRDefault="00CB3C8C" w:rsidP="008A5887">
      <w:pPr>
        <w:pStyle w:val="Paragraphedeliste"/>
        <w:numPr>
          <w:ilvl w:val="0"/>
          <w:numId w:val="11"/>
        </w:numPr>
        <w:spacing w:after="120" w:line="240" w:lineRule="auto"/>
        <w:rPr>
          <w:lang w:val="en-GB"/>
        </w:rPr>
      </w:pPr>
      <w:r>
        <w:rPr>
          <w:lang w:val="en-GB"/>
        </w:rPr>
        <w:t>M</w:t>
      </w:r>
      <w:r w:rsidR="0020198E" w:rsidRPr="00F2561A">
        <w:rPr>
          <w:lang w:val="en-GB"/>
        </w:rPr>
        <w:t>inistries (</w:t>
      </w:r>
      <w:r w:rsidR="00FC7279" w:rsidRPr="00F2561A">
        <w:rPr>
          <w:lang w:val="en-GB"/>
        </w:rPr>
        <w:t>particularly the ministry of health</w:t>
      </w:r>
      <w:r w:rsidR="0020198E" w:rsidRPr="00F2561A">
        <w:rPr>
          <w:lang w:val="en-GB"/>
        </w:rPr>
        <w:t>)</w:t>
      </w:r>
      <w:r w:rsidR="00F2561A" w:rsidRPr="00F2561A">
        <w:rPr>
          <w:lang w:val="en-GB"/>
        </w:rPr>
        <w:t xml:space="preserve"> for technical expertise</w:t>
      </w:r>
      <w:r>
        <w:rPr>
          <w:lang w:val="en-GB"/>
        </w:rPr>
        <w:t>.</w:t>
      </w:r>
      <w:r w:rsidRPr="00F2561A">
        <w:rPr>
          <w:lang w:val="en-GB"/>
        </w:rPr>
        <w:t xml:space="preserve"> </w:t>
      </w:r>
    </w:p>
    <w:p w14:paraId="4825ABF1" w14:textId="698BEBE0" w:rsidR="00F2561A" w:rsidRDefault="00CB3C8C" w:rsidP="008A5887">
      <w:pPr>
        <w:pStyle w:val="Paragraphedeliste"/>
        <w:numPr>
          <w:ilvl w:val="0"/>
          <w:numId w:val="11"/>
        </w:numPr>
        <w:spacing w:after="120" w:line="240" w:lineRule="auto"/>
        <w:rPr>
          <w:lang w:val="en-GB"/>
        </w:rPr>
      </w:pPr>
      <w:r>
        <w:rPr>
          <w:lang w:val="en-GB"/>
        </w:rPr>
        <w:t>E</w:t>
      </w:r>
      <w:r w:rsidRPr="00F2561A">
        <w:rPr>
          <w:lang w:val="en-GB"/>
        </w:rPr>
        <w:t xml:space="preserve">ducation </w:t>
      </w:r>
      <w:r w:rsidR="00FC7279" w:rsidRPr="00F2561A">
        <w:rPr>
          <w:lang w:val="en-GB"/>
        </w:rPr>
        <w:t>stakeholders (</w:t>
      </w:r>
      <w:r w:rsidR="0020198E" w:rsidRPr="00F2561A">
        <w:rPr>
          <w:lang w:val="en-GB"/>
        </w:rPr>
        <w:t xml:space="preserve">e.g. </w:t>
      </w:r>
      <w:r w:rsidR="00FC7279" w:rsidRPr="00F2561A">
        <w:rPr>
          <w:lang w:val="en-GB"/>
        </w:rPr>
        <w:t>teachers, teacher</w:t>
      </w:r>
      <w:r w:rsidR="0020198E" w:rsidRPr="00F2561A">
        <w:rPr>
          <w:lang w:val="en-GB"/>
        </w:rPr>
        <w:t>s’</w:t>
      </w:r>
      <w:r w:rsidR="00FC7279" w:rsidRPr="00F2561A">
        <w:rPr>
          <w:lang w:val="en-GB"/>
        </w:rPr>
        <w:t xml:space="preserve"> unions, paren</w:t>
      </w:r>
      <w:r w:rsidR="0020198E" w:rsidRPr="00F2561A">
        <w:rPr>
          <w:lang w:val="en-GB"/>
        </w:rPr>
        <w:t>t–</w:t>
      </w:r>
      <w:r w:rsidR="00FC7279" w:rsidRPr="00F2561A">
        <w:rPr>
          <w:lang w:val="en-GB"/>
        </w:rPr>
        <w:t>teacher associations)</w:t>
      </w:r>
      <w:r w:rsidR="00F2561A">
        <w:rPr>
          <w:lang w:val="en-GB"/>
        </w:rPr>
        <w:t xml:space="preserve"> for greater commitment and buy-in to the implementation of the response</w:t>
      </w:r>
      <w:r>
        <w:rPr>
          <w:lang w:val="en-GB"/>
        </w:rPr>
        <w:t>.</w:t>
      </w:r>
    </w:p>
    <w:p w14:paraId="5474C4A9" w14:textId="4E0E2F16" w:rsidR="00F2561A" w:rsidRDefault="00CB3C8C" w:rsidP="008A5887">
      <w:pPr>
        <w:pStyle w:val="Paragraphedeliste"/>
        <w:numPr>
          <w:ilvl w:val="0"/>
          <w:numId w:val="11"/>
        </w:numPr>
        <w:spacing w:after="120" w:line="240" w:lineRule="auto"/>
        <w:rPr>
          <w:lang w:val="en-GB"/>
        </w:rPr>
      </w:pPr>
      <w:r>
        <w:rPr>
          <w:lang w:val="en-GB"/>
        </w:rPr>
        <w:t>I</w:t>
      </w:r>
      <w:r w:rsidR="00FC7279" w:rsidRPr="00F2561A">
        <w:rPr>
          <w:lang w:val="en-GB"/>
        </w:rPr>
        <w:t>nternational development partners</w:t>
      </w:r>
      <w:r w:rsidR="00F2561A">
        <w:rPr>
          <w:lang w:val="en-GB"/>
        </w:rPr>
        <w:t xml:space="preserve"> for policy development, standard</w:t>
      </w:r>
      <w:r>
        <w:rPr>
          <w:lang w:val="en-GB"/>
        </w:rPr>
        <w:t>-</w:t>
      </w:r>
      <w:r w:rsidR="00F2561A">
        <w:rPr>
          <w:lang w:val="en-GB"/>
        </w:rPr>
        <w:t>setting</w:t>
      </w:r>
      <w:r>
        <w:rPr>
          <w:lang w:val="en-GB"/>
        </w:rPr>
        <w:t>,</w:t>
      </w:r>
      <w:r w:rsidR="00F2561A">
        <w:rPr>
          <w:lang w:val="en-GB"/>
        </w:rPr>
        <w:t xml:space="preserve"> and norms</w:t>
      </w:r>
      <w:r>
        <w:rPr>
          <w:lang w:val="en-GB"/>
        </w:rPr>
        <w:t>.</w:t>
      </w:r>
    </w:p>
    <w:p w14:paraId="28927724" w14:textId="3807437D" w:rsidR="00F2561A" w:rsidRDefault="00F2561A" w:rsidP="008A5887">
      <w:pPr>
        <w:pStyle w:val="Paragraphedeliste"/>
        <w:numPr>
          <w:ilvl w:val="0"/>
          <w:numId w:val="11"/>
        </w:numPr>
        <w:spacing w:after="120" w:line="240" w:lineRule="auto"/>
        <w:rPr>
          <w:lang w:val="en-GB"/>
        </w:rPr>
      </w:pPr>
      <w:r>
        <w:rPr>
          <w:lang w:val="en-GB"/>
        </w:rPr>
        <w:t>Regional and national development partners for improved coordination and use of available resources</w:t>
      </w:r>
      <w:r w:rsidR="00CB3C8C">
        <w:rPr>
          <w:lang w:val="en-GB"/>
        </w:rPr>
        <w:t>.</w:t>
      </w:r>
    </w:p>
    <w:p w14:paraId="460EC6F1" w14:textId="7E8EAC59" w:rsidR="00F2561A" w:rsidRDefault="00CB3C8C" w:rsidP="008A5887">
      <w:pPr>
        <w:pStyle w:val="Paragraphedeliste"/>
        <w:numPr>
          <w:ilvl w:val="0"/>
          <w:numId w:val="11"/>
        </w:numPr>
        <w:spacing w:after="120" w:line="240" w:lineRule="auto"/>
        <w:rPr>
          <w:lang w:val="en-GB"/>
        </w:rPr>
      </w:pPr>
      <w:r>
        <w:rPr>
          <w:lang w:val="en-GB"/>
        </w:rPr>
        <w:t>N</w:t>
      </w:r>
      <w:r w:rsidR="0020198E" w:rsidRPr="00F2561A">
        <w:rPr>
          <w:lang w:val="en-GB"/>
        </w:rPr>
        <w:t>on-governmental organizations (NGOs)</w:t>
      </w:r>
      <w:r>
        <w:rPr>
          <w:lang w:val="en-GB"/>
        </w:rPr>
        <w:t xml:space="preserve"> and</w:t>
      </w:r>
      <w:r w:rsidR="004257D0" w:rsidRPr="00F2561A">
        <w:rPr>
          <w:lang w:val="en-GB"/>
        </w:rPr>
        <w:t xml:space="preserve"> community and faith-</w:t>
      </w:r>
      <w:r w:rsidR="00FC7279" w:rsidRPr="00F2561A">
        <w:rPr>
          <w:lang w:val="en-GB"/>
        </w:rPr>
        <w:t>based organizations</w:t>
      </w:r>
      <w:r w:rsidR="0020198E" w:rsidRPr="00F2561A">
        <w:rPr>
          <w:lang w:val="en-GB"/>
        </w:rPr>
        <w:t>,</w:t>
      </w:r>
      <w:r w:rsidR="00FC7279" w:rsidRPr="00F2561A">
        <w:rPr>
          <w:lang w:val="en-GB"/>
        </w:rPr>
        <w:t xml:space="preserve"> </w:t>
      </w:r>
      <w:r w:rsidR="00F2561A">
        <w:rPr>
          <w:lang w:val="en-GB"/>
        </w:rPr>
        <w:t>for understanding of the local context and increased community mobili</w:t>
      </w:r>
      <w:r>
        <w:rPr>
          <w:lang w:val="en-GB"/>
        </w:rPr>
        <w:t>z</w:t>
      </w:r>
      <w:r w:rsidR="00F2561A">
        <w:rPr>
          <w:lang w:val="en-GB"/>
        </w:rPr>
        <w:t>ation and buy</w:t>
      </w:r>
      <w:r>
        <w:rPr>
          <w:lang w:val="en-GB"/>
        </w:rPr>
        <w:t>-</w:t>
      </w:r>
      <w:r w:rsidR="00F2561A">
        <w:rPr>
          <w:lang w:val="en-GB"/>
        </w:rPr>
        <w:t>in</w:t>
      </w:r>
      <w:r>
        <w:rPr>
          <w:lang w:val="en-GB"/>
        </w:rPr>
        <w:t>.</w:t>
      </w:r>
    </w:p>
    <w:p w14:paraId="60B1774C" w14:textId="4276BBE8" w:rsidR="00FC7279" w:rsidRPr="00F2561A" w:rsidRDefault="00CB3C8C" w:rsidP="008A5887">
      <w:pPr>
        <w:pStyle w:val="Paragraphedeliste"/>
        <w:numPr>
          <w:ilvl w:val="0"/>
          <w:numId w:val="11"/>
        </w:numPr>
        <w:spacing w:after="120" w:line="240" w:lineRule="auto"/>
        <w:rPr>
          <w:lang w:val="en-GB"/>
        </w:rPr>
      </w:pPr>
      <w:r>
        <w:rPr>
          <w:lang w:val="en-GB"/>
        </w:rPr>
        <w:t>T</w:t>
      </w:r>
      <w:r w:rsidR="00FC7279" w:rsidRPr="00F2561A">
        <w:rPr>
          <w:lang w:val="en-GB"/>
        </w:rPr>
        <w:t>he private sector</w:t>
      </w:r>
      <w:r w:rsidR="00F2561A">
        <w:rPr>
          <w:lang w:val="en-GB"/>
        </w:rPr>
        <w:t>, for financial resources and strategic expertise</w:t>
      </w:r>
      <w:r w:rsidR="00FC7279" w:rsidRPr="00F2561A">
        <w:rPr>
          <w:lang w:val="en-GB"/>
        </w:rPr>
        <w:t>.</w:t>
      </w:r>
    </w:p>
    <w:p w14:paraId="6423D44D" w14:textId="14D0FB15" w:rsidR="0020198E" w:rsidRDefault="0020198E" w:rsidP="00FC7279">
      <w:pPr>
        <w:spacing w:after="120" w:line="240" w:lineRule="auto"/>
        <w:rPr>
          <w:lang w:val="en-GB"/>
        </w:rPr>
      </w:pPr>
    </w:p>
    <w:p w14:paraId="303D18E4" w14:textId="4E91829B" w:rsidR="0020198E" w:rsidRDefault="00974A12" w:rsidP="00FC7279">
      <w:pPr>
        <w:spacing w:after="120" w:line="240" w:lineRule="auto"/>
        <w:rPr>
          <w:lang w:val="en-GB"/>
        </w:rPr>
      </w:pPr>
      <w:r>
        <w:rPr>
          <w:lang w:val="en-GB"/>
        </w:rPr>
        <w:t xml:space="preserve">Here follow several suggestions for </w:t>
      </w:r>
      <w:proofErr w:type="spellStart"/>
      <w:r>
        <w:rPr>
          <w:lang w:val="en-GB"/>
        </w:rPr>
        <w:t>MoEs</w:t>
      </w:r>
      <w:proofErr w:type="spellEnd"/>
      <w:r>
        <w:rPr>
          <w:lang w:val="en-GB"/>
        </w:rPr>
        <w:t>.</w:t>
      </w:r>
    </w:p>
    <w:p w14:paraId="133A881D" w14:textId="5A540CDD" w:rsidR="00FC7279" w:rsidRPr="00536832" w:rsidRDefault="0077212C" w:rsidP="00FC7279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>I</w:t>
      </w:r>
      <w:r w:rsidR="0020198E">
        <w:rPr>
          <w:lang w:val="en-GB"/>
        </w:rPr>
        <w:t xml:space="preserve">dentify, </w:t>
      </w:r>
      <w:r w:rsidR="00FC7279">
        <w:rPr>
          <w:lang w:val="en-GB"/>
        </w:rPr>
        <w:t xml:space="preserve">and coordinate </w:t>
      </w:r>
      <w:r w:rsidR="004257D0">
        <w:rPr>
          <w:lang w:val="en-GB"/>
        </w:rPr>
        <w:t>with</w:t>
      </w:r>
      <w:r w:rsidR="0020198E">
        <w:rPr>
          <w:lang w:val="en-GB"/>
        </w:rPr>
        <w:t>,</w:t>
      </w:r>
      <w:r w:rsidR="00FC7279">
        <w:rPr>
          <w:lang w:val="en-GB"/>
        </w:rPr>
        <w:t xml:space="preserve"> all partners </w:t>
      </w:r>
      <w:r w:rsidR="0020198E">
        <w:rPr>
          <w:lang w:val="en-GB"/>
        </w:rPr>
        <w:t xml:space="preserve">who can inform and improve the </w:t>
      </w:r>
      <w:r w:rsidR="00FC7279">
        <w:rPr>
          <w:lang w:val="en-GB"/>
        </w:rPr>
        <w:t xml:space="preserve">education response to the </w:t>
      </w:r>
      <w:r w:rsidR="0020198E">
        <w:rPr>
          <w:lang w:val="en-GB"/>
        </w:rPr>
        <w:t>epidemic</w:t>
      </w:r>
      <w:r>
        <w:rPr>
          <w:lang w:val="en-GB"/>
        </w:rPr>
        <w:t>.</w:t>
      </w:r>
    </w:p>
    <w:p w14:paraId="47846A6C" w14:textId="3AE9BBBD" w:rsidR="00FC7279" w:rsidRDefault="0077212C" w:rsidP="00FC7279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>W</w:t>
      </w:r>
      <w:r w:rsidR="00377B1E">
        <w:rPr>
          <w:lang w:val="en-GB"/>
        </w:rPr>
        <w:t xml:space="preserve">ork </w:t>
      </w:r>
      <w:r w:rsidR="00FC7279">
        <w:rPr>
          <w:lang w:val="en-GB"/>
        </w:rPr>
        <w:t>with local NGOs</w:t>
      </w:r>
      <w:r w:rsidR="00377B1E">
        <w:rPr>
          <w:lang w:val="en-GB"/>
        </w:rPr>
        <w:t xml:space="preserve"> and</w:t>
      </w:r>
      <w:r w:rsidR="00FC7279">
        <w:rPr>
          <w:lang w:val="en-GB"/>
        </w:rPr>
        <w:t xml:space="preserve"> community and faith-based organizations to identify children most in need</w:t>
      </w:r>
      <w:r w:rsidR="00377B1E">
        <w:rPr>
          <w:lang w:val="en-GB"/>
        </w:rPr>
        <w:t xml:space="preserve"> of health education,</w:t>
      </w:r>
      <w:r w:rsidR="00FC7279">
        <w:rPr>
          <w:lang w:val="en-GB"/>
        </w:rPr>
        <w:t xml:space="preserve"> as well as </w:t>
      </w:r>
      <w:r w:rsidR="00377B1E">
        <w:rPr>
          <w:lang w:val="en-GB"/>
        </w:rPr>
        <w:t xml:space="preserve">to </w:t>
      </w:r>
      <w:r w:rsidR="00FC7279">
        <w:rPr>
          <w:lang w:val="en-GB"/>
        </w:rPr>
        <w:t xml:space="preserve">reinforce </w:t>
      </w:r>
      <w:r w:rsidR="00377B1E">
        <w:rPr>
          <w:lang w:val="en-GB"/>
        </w:rPr>
        <w:t>hygiene</w:t>
      </w:r>
      <w:r w:rsidR="00FC7279">
        <w:rPr>
          <w:lang w:val="en-GB"/>
        </w:rPr>
        <w:t xml:space="preserve"> messages within the community</w:t>
      </w:r>
      <w:r>
        <w:rPr>
          <w:lang w:val="en-GB"/>
        </w:rPr>
        <w:t>.</w:t>
      </w:r>
    </w:p>
    <w:p w14:paraId="4081E83A" w14:textId="33D4034C" w:rsidR="00FC7279" w:rsidRDefault="0077212C" w:rsidP="00FC7279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>M</w:t>
      </w:r>
      <w:r w:rsidR="00377B1E">
        <w:rPr>
          <w:lang w:val="en-GB"/>
        </w:rPr>
        <w:t xml:space="preserve">onitor </w:t>
      </w:r>
      <w:r w:rsidR="00FC7279">
        <w:rPr>
          <w:lang w:val="en-GB"/>
        </w:rPr>
        <w:t xml:space="preserve">the actions and impact of </w:t>
      </w:r>
      <w:r w:rsidR="00377B1E">
        <w:rPr>
          <w:lang w:val="en-GB"/>
        </w:rPr>
        <w:t>all</w:t>
      </w:r>
      <w:r w:rsidR="00FC7279">
        <w:rPr>
          <w:lang w:val="en-GB"/>
        </w:rPr>
        <w:t xml:space="preserve"> partnership</w:t>
      </w:r>
      <w:r w:rsidR="00EB6D1F">
        <w:rPr>
          <w:lang w:val="en-GB"/>
        </w:rPr>
        <w:t>s,</w:t>
      </w:r>
      <w:r w:rsidR="00FC7279">
        <w:rPr>
          <w:lang w:val="en-GB"/>
        </w:rPr>
        <w:t xml:space="preserve"> and adjust </w:t>
      </w:r>
      <w:r w:rsidR="00377B1E">
        <w:rPr>
          <w:lang w:val="en-GB"/>
        </w:rPr>
        <w:t xml:space="preserve">them </w:t>
      </w:r>
      <w:r w:rsidR="00FC7279">
        <w:rPr>
          <w:lang w:val="en-GB"/>
        </w:rPr>
        <w:t>as necessary.</w:t>
      </w:r>
    </w:p>
    <w:p w14:paraId="18CD99CB" w14:textId="2939CFA4" w:rsidR="007B5233" w:rsidRDefault="007B5233" w:rsidP="007B5233">
      <w:pPr>
        <w:pStyle w:val="Paragraphedeliste"/>
        <w:spacing w:after="120" w:line="240" w:lineRule="auto"/>
        <w:ind w:left="360"/>
        <w:rPr>
          <w:lang w:val="en-GB"/>
        </w:rPr>
      </w:pPr>
    </w:p>
    <w:p w14:paraId="29DF82F9" w14:textId="77777777" w:rsidR="007B5233" w:rsidRPr="00536832" w:rsidRDefault="007B5233" w:rsidP="007B5233">
      <w:pPr>
        <w:pStyle w:val="Paragraphedeliste"/>
        <w:spacing w:after="120" w:line="240" w:lineRule="auto"/>
        <w:ind w:left="360"/>
        <w:rPr>
          <w:lang w:val="en-GB"/>
        </w:rPr>
      </w:pPr>
    </w:p>
    <w:p w14:paraId="59313848" w14:textId="169CC448" w:rsidR="00840F1C" w:rsidRPr="0071311E" w:rsidRDefault="00840F1C" w:rsidP="00840F1C">
      <w:pPr>
        <w:pStyle w:val="Paragraphedeliste"/>
        <w:numPr>
          <w:ilvl w:val="0"/>
          <w:numId w:val="6"/>
        </w:numPr>
        <w:spacing w:after="120" w:line="240" w:lineRule="auto"/>
        <w:ind w:left="0"/>
        <w:rPr>
          <w:b/>
          <w:color w:val="11A0AA"/>
          <w:sz w:val="28"/>
          <w:szCs w:val="28"/>
          <w:lang w:val="en-GB"/>
        </w:rPr>
      </w:pPr>
      <w:r w:rsidRPr="0071311E">
        <w:rPr>
          <w:b/>
          <w:color w:val="11A0AA"/>
          <w:sz w:val="28"/>
          <w:szCs w:val="28"/>
          <w:lang w:val="en-GB"/>
        </w:rPr>
        <w:t xml:space="preserve">Review </w:t>
      </w:r>
      <w:r w:rsidR="00377B1E" w:rsidRPr="0071311E">
        <w:rPr>
          <w:b/>
          <w:color w:val="11A0AA"/>
          <w:sz w:val="28"/>
          <w:szCs w:val="28"/>
          <w:lang w:val="en-GB"/>
        </w:rPr>
        <w:t xml:space="preserve">the </w:t>
      </w:r>
      <w:r w:rsidRPr="0071311E">
        <w:rPr>
          <w:b/>
          <w:color w:val="11A0AA"/>
          <w:sz w:val="28"/>
          <w:szCs w:val="28"/>
          <w:lang w:val="en-GB"/>
        </w:rPr>
        <w:t xml:space="preserve">available </w:t>
      </w:r>
      <w:r w:rsidR="00377B1E" w:rsidRPr="0071311E">
        <w:rPr>
          <w:b/>
          <w:color w:val="11A0AA"/>
          <w:sz w:val="28"/>
          <w:szCs w:val="28"/>
          <w:lang w:val="en-GB"/>
        </w:rPr>
        <w:t xml:space="preserve">health and hygiene </w:t>
      </w:r>
      <w:r w:rsidRPr="0071311E">
        <w:rPr>
          <w:b/>
          <w:color w:val="11A0AA"/>
          <w:sz w:val="28"/>
          <w:szCs w:val="28"/>
          <w:lang w:val="en-GB"/>
        </w:rPr>
        <w:t xml:space="preserve">learning materials </w:t>
      </w:r>
    </w:p>
    <w:p w14:paraId="5048F840" w14:textId="1172FEE2" w:rsidR="003B562C" w:rsidRDefault="00377B1E" w:rsidP="00211FDB">
      <w:p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="003B562C">
        <w:rPr>
          <w:lang w:val="en-GB"/>
        </w:rPr>
        <w:t xml:space="preserve">eaching and learning materials </w:t>
      </w:r>
      <w:r>
        <w:rPr>
          <w:lang w:val="en-GB"/>
        </w:rPr>
        <w:t xml:space="preserve">about public and individual health and hygiene need to be not only available to educators and students but also </w:t>
      </w:r>
      <w:r w:rsidR="004A6E28">
        <w:rPr>
          <w:lang w:val="en-GB"/>
        </w:rPr>
        <w:t>adapted to the current crisis</w:t>
      </w:r>
      <w:r>
        <w:rPr>
          <w:lang w:val="en-GB"/>
        </w:rPr>
        <w:t xml:space="preserve"> in terms of content and accessibility.</w:t>
      </w:r>
      <w:r w:rsidR="003B562C">
        <w:rPr>
          <w:lang w:val="en-GB"/>
        </w:rPr>
        <w:t xml:space="preserve"> </w:t>
      </w:r>
    </w:p>
    <w:p w14:paraId="68DAE8ED" w14:textId="2EF0BF11" w:rsidR="00377B1E" w:rsidRDefault="00377B1E" w:rsidP="00211FDB">
      <w:pPr>
        <w:spacing w:after="0" w:line="240" w:lineRule="auto"/>
        <w:rPr>
          <w:lang w:val="en-GB"/>
        </w:rPr>
      </w:pPr>
    </w:p>
    <w:p w14:paraId="1A687DC7" w14:textId="5BA469D8" w:rsidR="00840F1C" w:rsidRPr="003B562C" w:rsidRDefault="004C62A8" w:rsidP="003B562C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 xml:space="preserve">Check </w:t>
      </w:r>
      <w:r w:rsidR="00377B1E">
        <w:rPr>
          <w:lang w:val="en-GB"/>
        </w:rPr>
        <w:t>that all</w:t>
      </w:r>
      <w:r w:rsidR="00E9353C" w:rsidRPr="003B562C">
        <w:rPr>
          <w:lang w:val="en-GB"/>
        </w:rPr>
        <w:t xml:space="preserve"> teaching and learning materials </w:t>
      </w:r>
      <w:r w:rsidR="00840F1C" w:rsidRPr="003B562C">
        <w:rPr>
          <w:lang w:val="en-GB"/>
        </w:rPr>
        <w:t xml:space="preserve">include </w:t>
      </w:r>
      <w:r w:rsidR="00377B1E">
        <w:rPr>
          <w:lang w:val="en-GB"/>
        </w:rPr>
        <w:t xml:space="preserve">practical, </w:t>
      </w:r>
      <w:r w:rsidR="00CC4FB5">
        <w:rPr>
          <w:lang w:val="en-GB"/>
        </w:rPr>
        <w:t>easy-to-</w:t>
      </w:r>
      <w:r w:rsidR="004C16FC" w:rsidRPr="003B562C">
        <w:rPr>
          <w:lang w:val="en-GB"/>
        </w:rPr>
        <w:t>understand</w:t>
      </w:r>
      <w:r w:rsidR="00840F1C" w:rsidRPr="003B562C">
        <w:rPr>
          <w:lang w:val="en-GB"/>
        </w:rPr>
        <w:t xml:space="preserve"> messages </w:t>
      </w:r>
      <w:r w:rsidR="00377B1E">
        <w:rPr>
          <w:lang w:val="en-GB"/>
        </w:rPr>
        <w:t xml:space="preserve">about </w:t>
      </w:r>
      <w:r w:rsidR="00840F1C" w:rsidRPr="003B562C">
        <w:rPr>
          <w:lang w:val="en-GB"/>
        </w:rPr>
        <w:t>protect</w:t>
      </w:r>
      <w:r w:rsidR="00377B1E">
        <w:rPr>
          <w:lang w:val="en-GB"/>
        </w:rPr>
        <w:t>ing</w:t>
      </w:r>
      <w:r w:rsidR="00840F1C" w:rsidRPr="003B562C">
        <w:rPr>
          <w:lang w:val="en-GB"/>
        </w:rPr>
        <w:t xml:space="preserve"> oneself </w:t>
      </w:r>
      <w:r w:rsidR="00377B1E">
        <w:rPr>
          <w:lang w:val="en-GB"/>
        </w:rPr>
        <w:t xml:space="preserve">and </w:t>
      </w:r>
      <w:r w:rsidR="00840F1C" w:rsidRPr="003B562C">
        <w:rPr>
          <w:lang w:val="en-GB"/>
        </w:rPr>
        <w:t>others</w:t>
      </w:r>
      <w:r w:rsidR="00E9353C" w:rsidRPr="003B562C">
        <w:rPr>
          <w:lang w:val="en-GB"/>
        </w:rPr>
        <w:t xml:space="preserve"> from the </w:t>
      </w:r>
      <w:r w:rsidR="00377B1E">
        <w:rPr>
          <w:lang w:val="en-GB"/>
        </w:rPr>
        <w:t>epi</w:t>
      </w:r>
      <w:r w:rsidR="00E9353C" w:rsidRPr="003B562C">
        <w:rPr>
          <w:lang w:val="en-GB"/>
        </w:rPr>
        <w:t>demic</w:t>
      </w:r>
      <w:r>
        <w:rPr>
          <w:lang w:val="en-GB"/>
        </w:rPr>
        <w:t>.</w:t>
      </w:r>
    </w:p>
    <w:p w14:paraId="35ADFC8E" w14:textId="44AFF906" w:rsidR="00840F1C" w:rsidRPr="004A6E28" w:rsidRDefault="004C62A8" w:rsidP="004A6E28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lastRenderedPageBreak/>
        <w:t>A</w:t>
      </w:r>
      <w:r w:rsidRPr="004A6E28">
        <w:rPr>
          <w:lang w:val="en-GB"/>
        </w:rPr>
        <w:t xml:space="preserve">ssemble </w:t>
      </w:r>
      <w:r w:rsidR="004A6E28" w:rsidRPr="004A6E28">
        <w:rPr>
          <w:lang w:val="en-GB"/>
        </w:rPr>
        <w:t xml:space="preserve">expert groups to review the curriculum </w:t>
      </w:r>
      <w:r w:rsidR="00377B1E">
        <w:rPr>
          <w:lang w:val="en-GB"/>
        </w:rPr>
        <w:t>and</w:t>
      </w:r>
      <w:r w:rsidR="00C66189">
        <w:rPr>
          <w:lang w:val="en-GB"/>
        </w:rPr>
        <w:t xml:space="preserve"> </w:t>
      </w:r>
      <w:r w:rsidR="004A6E28">
        <w:rPr>
          <w:lang w:val="en-GB"/>
        </w:rPr>
        <w:t>e</w:t>
      </w:r>
      <w:r w:rsidR="00E9353C" w:rsidRPr="004A6E28">
        <w:rPr>
          <w:lang w:val="en-GB"/>
        </w:rPr>
        <w:t xml:space="preserve">nsure that content is </w:t>
      </w:r>
      <w:r w:rsidR="00840F1C" w:rsidRPr="004A6E28">
        <w:rPr>
          <w:lang w:val="en-GB"/>
        </w:rPr>
        <w:t xml:space="preserve">scientifically accurate, </w:t>
      </w:r>
      <w:r w:rsidR="004C16FC" w:rsidRPr="004A6E28">
        <w:rPr>
          <w:lang w:val="en-GB"/>
        </w:rPr>
        <w:t xml:space="preserve">age-appropriate, adapted to the local context and </w:t>
      </w:r>
      <w:r w:rsidR="00377B1E">
        <w:rPr>
          <w:lang w:val="en-GB"/>
        </w:rPr>
        <w:t>current situation</w:t>
      </w:r>
      <w:r w:rsidR="004C16FC" w:rsidRPr="004A6E28">
        <w:rPr>
          <w:lang w:val="en-GB"/>
        </w:rPr>
        <w:t xml:space="preserve">, </w:t>
      </w:r>
      <w:r w:rsidR="00E9353C" w:rsidRPr="004A6E28">
        <w:rPr>
          <w:lang w:val="en-GB"/>
        </w:rPr>
        <w:t xml:space="preserve">and </w:t>
      </w:r>
      <w:r w:rsidR="004C16FC" w:rsidRPr="004A6E28">
        <w:rPr>
          <w:lang w:val="en-GB"/>
        </w:rPr>
        <w:t>availabl</w:t>
      </w:r>
      <w:r w:rsidR="00E9353C" w:rsidRPr="004A6E28">
        <w:rPr>
          <w:lang w:val="en-GB"/>
        </w:rPr>
        <w:t>e in local languages</w:t>
      </w:r>
      <w:r>
        <w:rPr>
          <w:lang w:val="en-GB"/>
        </w:rPr>
        <w:t>.</w:t>
      </w:r>
    </w:p>
    <w:p w14:paraId="6EBEB571" w14:textId="6C915384" w:rsidR="00840F1C" w:rsidRPr="003B562C" w:rsidRDefault="004C62A8" w:rsidP="003B562C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>P</w:t>
      </w:r>
      <w:r w:rsidRPr="003B562C">
        <w:rPr>
          <w:lang w:val="en-GB"/>
        </w:rPr>
        <w:t xml:space="preserve">rovide </w:t>
      </w:r>
      <w:hyperlink r:id="rId10" w:history="1">
        <w:r w:rsidR="00E9353C" w:rsidRPr="00974A12">
          <w:rPr>
            <w:rStyle w:val="Lienhypertexte"/>
            <w:lang w:val="en-GB"/>
          </w:rPr>
          <w:t xml:space="preserve">training </w:t>
        </w:r>
        <w:r w:rsidR="00377B1E" w:rsidRPr="00974A12">
          <w:rPr>
            <w:rStyle w:val="Lienhypertexte"/>
            <w:lang w:val="en-GB"/>
          </w:rPr>
          <w:t xml:space="preserve">to help </w:t>
        </w:r>
        <w:r w:rsidR="00EB52D9" w:rsidRPr="00974A12">
          <w:rPr>
            <w:rStyle w:val="Lienhypertexte"/>
            <w:lang w:val="en-GB"/>
          </w:rPr>
          <w:t>teachers</w:t>
        </w:r>
      </w:hyperlink>
      <w:r w:rsidR="00EB52D9" w:rsidRPr="003B562C">
        <w:rPr>
          <w:lang w:val="en-GB"/>
        </w:rPr>
        <w:t xml:space="preserve"> deliver age-appropriate messages</w:t>
      </w:r>
      <w:r>
        <w:rPr>
          <w:lang w:val="en-GB"/>
        </w:rPr>
        <w:t>.</w:t>
      </w:r>
    </w:p>
    <w:p w14:paraId="0CFB15D4" w14:textId="525C0139" w:rsidR="0071311E" w:rsidRPr="0071311E" w:rsidRDefault="004C62A8" w:rsidP="0071311E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 xml:space="preserve">Ensure </w:t>
      </w:r>
      <w:r w:rsidR="00CC4FB5">
        <w:rPr>
          <w:lang w:val="en-GB"/>
        </w:rPr>
        <w:t>that child-</w:t>
      </w:r>
      <w:r w:rsidR="0062119C" w:rsidRPr="003B562C">
        <w:rPr>
          <w:lang w:val="en-GB"/>
        </w:rPr>
        <w:t xml:space="preserve">friendly materials are available </w:t>
      </w:r>
      <w:r w:rsidR="004A6E28">
        <w:rPr>
          <w:lang w:val="en-GB"/>
        </w:rPr>
        <w:t>through educational channels.</w:t>
      </w:r>
    </w:p>
    <w:p w14:paraId="1E179A80" w14:textId="71997FD9" w:rsidR="00840F1C" w:rsidRPr="00840F1C" w:rsidRDefault="00840F1C" w:rsidP="00840F1C">
      <w:pPr>
        <w:spacing w:after="120" w:line="240" w:lineRule="auto"/>
        <w:rPr>
          <w:lang w:val="en-GB"/>
        </w:rPr>
      </w:pPr>
    </w:p>
    <w:p w14:paraId="0A8EDEB2" w14:textId="2A311B63" w:rsidR="00840F1C" w:rsidRPr="0071311E" w:rsidRDefault="005D6A49" w:rsidP="00840F1C">
      <w:pPr>
        <w:pStyle w:val="Paragraphedeliste"/>
        <w:numPr>
          <w:ilvl w:val="0"/>
          <w:numId w:val="6"/>
        </w:numPr>
        <w:spacing w:after="120" w:line="240" w:lineRule="auto"/>
        <w:ind w:left="0"/>
        <w:rPr>
          <w:b/>
          <w:color w:val="11A0AA"/>
          <w:sz w:val="28"/>
          <w:szCs w:val="28"/>
          <w:lang w:val="en-GB"/>
        </w:rPr>
      </w:pPr>
      <w:r w:rsidRPr="0071311E">
        <w:rPr>
          <w:b/>
          <w:color w:val="11A0AA"/>
          <w:sz w:val="28"/>
          <w:szCs w:val="28"/>
          <w:lang w:val="en-GB"/>
        </w:rPr>
        <w:t xml:space="preserve">Deliver </w:t>
      </w:r>
      <w:r w:rsidR="00840F1C" w:rsidRPr="0071311E">
        <w:rPr>
          <w:b/>
          <w:color w:val="11A0AA"/>
          <w:sz w:val="28"/>
          <w:szCs w:val="28"/>
          <w:lang w:val="en-GB"/>
        </w:rPr>
        <w:t xml:space="preserve">health education programmes </w:t>
      </w:r>
      <w:bookmarkStart w:id="0" w:name="_n9zvj7xpx1go" w:colFirst="0" w:colLast="0"/>
      <w:bookmarkEnd w:id="0"/>
    </w:p>
    <w:p w14:paraId="2601FD00" w14:textId="17400240" w:rsidR="00E9353C" w:rsidRDefault="00E06EA8" w:rsidP="00211FDB">
      <w:pPr>
        <w:spacing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Government h</w:t>
      </w:r>
      <w:r w:rsidR="00E9353C" w:rsidRPr="00432155">
        <w:rPr>
          <w:rFonts w:ascii="Calibri" w:hAnsi="Calibri" w:cs="Calibri"/>
          <w:color w:val="000000"/>
          <w:lang w:val="en-GB"/>
        </w:rPr>
        <w:t>ealth</w:t>
      </w:r>
      <w:r>
        <w:rPr>
          <w:rFonts w:ascii="Calibri" w:hAnsi="Calibri" w:cs="Calibri"/>
          <w:color w:val="000000"/>
          <w:lang w:val="en-GB"/>
        </w:rPr>
        <w:t xml:space="preserve"> </w:t>
      </w:r>
      <w:r w:rsidR="00E9353C" w:rsidRPr="00432155">
        <w:rPr>
          <w:rFonts w:ascii="Calibri" w:hAnsi="Calibri" w:cs="Calibri"/>
          <w:color w:val="000000"/>
          <w:lang w:val="en-GB"/>
        </w:rPr>
        <w:t xml:space="preserve">education programmes </w:t>
      </w:r>
      <w:r w:rsidR="00895CF7">
        <w:rPr>
          <w:rFonts w:ascii="Calibri" w:hAnsi="Calibri" w:cs="Calibri"/>
          <w:color w:val="000000"/>
          <w:lang w:val="en-GB"/>
        </w:rPr>
        <w:t>can play an important role</w:t>
      </w:r>
      <w:r>
        <w:rPr>
          <w:rFonts w:ascii="Calibri" w:hAnsi="Calibri" w:cs="Calibri"/>
          <w:color w:val="000000"/>
          <w:lang w:val="en-GB"/>
        </w:rPr>
        <w:t xml:space="preserve"> in an epidemic crisis</w:t>
      </w:r>
      <w:r w:rsidR="00974A12">
        <w:rPr>
          <w:rFonts w:ascii="Calibri" w:hAnsi="Calibri" w:cs="Calibri"/>
          <w:color w:val="000000"/>
          <w:lang w:val="en-GB"/>
        </w:rPr>
        <w:t xml:space="preserve">. There are several ways for </w:t>
      </w:r>
      <w:proofErr w:type="spellStart"/>
      <w:r w:rsidR="00974A12">
        <w:rPr>
          <w:rFonts w:ascii="Calibri" w:hAnsi="Calibri" w:cs="Calibri"/>
          <w:color w:val="000000"/>
          <w:lang w:val="en-GB"/>
        </w:rPr>
        <w:t>MoEs</w:t>
      </w:r>
      <w:proofErr w:type="spellEnd"/>
      <w:r w:rsidR="00974A12">
        <w:rPr>
          <w:rFonts w:ascii="Calibri" w:hAnsi="Calibri" w:cs="Calibri"/>
          <w:color w:val="000000"/>
          <w:lang w:val="en-GB"/>
        </w:rPr>
        <w:t xml:space="preserve"> to get involved.</w:t>
      </w:r>
    </w:p>
    <w:p w14:paraId="63D53BF0" w14:textId="3F3AC31A" w:rsidR="00EC321A" w:rsidRDefault="00EC321A" w:rsidP="00211FDB">
      <w:pPr>
        <w:spacing w:after="0" w:line="240" w:lineRule="auto"/>
        <w:rPr>
          <w:rFonts w:ascii="Calibri" w:hAnsi="Calibri" w:cs="Calibri"/>
          <w:color w:val="000000"/>
          <w:lang w:val="en-GB"/>
        </w:rPr>
      </w:pPr>
    </w:p>
    <w:p w14:paraId="3553B487" w14:textId="5CA5CAB2" w:rsidR="00E9353C" w:rsidRPr="00211FDB" w:rsidRDefault="00497E7F" w:rsidP="00895CF7">
      <w:pPr>
        <w:pStyle w:val="Paragraphedeliste"/>
        <w:numPr>
          <w:ilvl w:val="0"/>
          <w:numId w:val="10"/>
        </w:numPr>
        <w:spacing w:after="120" w:line="240" w:lineRule="auto"/>
        <w:rPr>
          <w:color w:val="000000" w:themeColor="text1"/>
          <w:lang w:val="en-GB"/>
        </w:rPr>
      </w:pPr>
      <w:r>
        <w:rPr>
          <w:rFonts w:ascii="Calibri" w:eastAsia="Times New Roman" w:hAnsi="Calibri" w:cs="Calibri"/>
          <w:color w:val="000000"/>
          <w:lang w:val="en-GB" w:eastAsia="fr-FR"/>
        </w:rPr>
        <w:t xml:space="preserve">Establish </w:t>
      </w:r>
      <w:r w:rsidR="00EC321A">
        <w:rPr>
          <w:rFonts w:ascii="Calibri" w:eastAsia="Times New Roman" w:hAnsi="Calibri" w:cs="Calibri"/>
          <w:color w:val="000000"/>
          <w:lang w:val="en-GB" w:eastAsia="fr-FR"/>
        </w:rPr>
        <w:t>a joint working group to prepare best-practice guidelines for health education providers</w:t>
      </w:r>
      <w:r>
        <w:rPr>
          <w:rFonts w:ascii="Calibri" w:eastAsia="Times New Roman" w:hAnsi="Calibri" w:cs="Calibri"/>
          <w:color w:val="000000"/>
          <w:lang w:val="en-GB" w:eastAsia="fr-FR"/>
        </w:rPr>
        <w:t>.</w:t>
      </w:r>
    </w:p>
    <w:p w14:paraId="0C014780" w14:textId="4395FFE4" w:rsidR="00EC321A" w:rsidRPr="00895CF7" w:rsidRDefault="00497E7F" w:rsidP="00895CF7">
      <w:pPr>
        <w:pStyle w:val="Paragraphedeliste"/>
        <w:numPr>
          <w:ilvl w:val="0"/>
          <w:numId w:val="10"/>
        </w:numPr>
        <w:spacing w:after="120" w:line="240" w:lineRule="auto"/>
        <w:rPr>
          <w:color w:val="000000" w:themeColor="text1"/>
          <w:lang w:val="en-GB"/>
        </w:rPr>
      </w:pPr>
      <w:r>
        <w:rPr>
          <w:rFonts w:ascii="Calibri" w:eastAsia="Times New Roman" w:hAnsi="Calibri" w:cs="Calibri"/>
          <w:color w:val="000000"/>
          <w:lang w:val="en-GB" w:eastAsia="fr-FR"/>
        </w:rPr>
        <w:t>F</w:t>
      </w:r>
      <w:r w:rsidRPr="00895CF7">
        <w:rPr>
          <w:rFonts w:ascii="Calibri" w:eastAsia="Times New Roman" w:hAnsi="Calibri" w:cs="Calibri"/>
          <w:color w:val="000000"/>
          <w:lang w:val="en-GB" w:eastAsia="fr-FR"/>
        </w:rPr>
        <w:t xml:space="preserve">acilitate </w:t>
      </w:r>
      <w:r w:rsidR="00EC321A" w:rsidRPr="00895CF7">
        <w:rPr>
          <w:rFonts w:ascii="Calibri" w:eastAsia="Times New Roman" w:hAnsi="Calibri" w:cs="Calibri"/>
          <w:color w:val="000000"/>
          <w:lang w:val="en-GB" w:eastAsia="fr-FR"/>
        </w:rPr>
        <w:t>or conduct health</w:t>
      </w:r>
      <w:r w:rsidR="00EC321A">
        <w:rPr>
          <w:rFonts w:ascii="Calibri" w:eastAsia="Times New Roman" w:hAnsi="Calibri" w:cs="Calibri"/>
          <w:color w:val="000000"/>
          <w:lang w:val="en-GB" w:eastAsia="fr-FR"/>
        </w:rPr>
        <w:t xml:space="preserve"> </w:t>
      </w:r>
      <w:r w:rsidR="00EC321A" w:rsidRPr="00895CF7">
        <w:rPr>
          <w:rFonts w:ascii="Calibri" w:eastAsia="Times New Roman" w:hAnsi="Calibri" w:cs="Calibri"/>
          <w:color w:val="000000"/>
          <w:lang w:val="en-GB" w:eastAsia="fr-FR"/>
        </w:rPr>
        <w:t>education campaigns, designed in collaboration with community members and teachers</w:t>
      </w:r>
      <w:r>
        <w:rPr>
          <w:rFonts w:ascii="Calibri" w:eastAsia="Times New Roman" w:hAnsi="Calibri" w:cs="Calibri"/>
          <w:color w:val="000000"/>
          <w:lang w:val="en-GB" w:eastAsia="fr-FR"/>
        </w:rPr>
        <w:t>.</w:t>
      </w:r>
    </w:p>
    <w:p w14:paraId="67417C7A" w14:textId="0775FECB" w:rsidR="00E9353C" w:rsidRPr="00895CF7" w:rsidRDefault="00497E7F" w:rsidP="00895CF7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>W</w:t>
      </w:r>
      <w:r w:rsidRPr="00895CF7">
        <w:rPr>
          <w:lang w:val="en-GB"/>
        </w:rPr>
        <w:t xml:space="preserve">ork </w:t>
      </w:r>
      <w:r w:rsidR="001D5C78" w:rsidRPr="00895CF7">
        <w:rPr>
          <w:lang w:val="en-GB"/>
        </w:rPr>
        <w:t xml:space="preserve">with national </w:t>
      </w:r>
      <w:r w:rsidR="003B562C" w:rsidRPr="00895CF7">
        <w:rPr>
          <w:lang w:val="en-GB"/>
        </w:rPr>
        <w:t xml:space="preserve">radio and TV </w:t>
      </w:r>
      <w:r w:rsidR="001D5C78" w:rsidRPr="00895CF7">
        <w:rPr>
          <w:lang w:val="en-GB"/>
        </w:rPr>
        <w:t xml:space="preserve">broadcasters, </w:t>
      </w:r>
      <w:r w:rsidR="00EC321A">
        <w:rPr>
          <w:lang w:val="en-GB"/>
        </w:rPr>
        <w:t>I</w:t>
      </w:r>
      <w:r w:rsidR="00EC321A" w:rsidRPr="00895CF7">
        <w:rPr>
          <w:lang w:val="en-GB"/>
        </w:rPr>
        <w:t xml:space="preserve">nternet </w:t>
      </w:r>
      <w:r w:rsidR="001D5C78" w:rsidRPr="00895CF7">
        <w:rPr>
          <w:lang w:val="en-GB"/>
        </w:rPr>
        <w:t>providers</w:t>
      </w:r>
      <w:r w:rsidR="00EC321A">
        <w:rPr>
          <w:lang w:val="en-GB"/>
        </w:rPr>
        <w:t>,</w:t>
      </w:r>
      <w:r w:rsidR="001D5C78" w:rsidRPr="00895CF7">
        <w:rPr>
          <w:lang w:val="en-GB"/>
        </w:rPr>
        <w:t xml:space="preserve"> and mobile phone companies to deliver health education programmes</w:t>
      </w:r>
      <w:r w:rsidR="00895CF7">
        <w:rPr>
          <w:lang w:val="en-GB"/>
        </w:rPr>
        <w:t xml:space="preserve"> </w:t>
      </w:r>
      <w:r w:rsidR="00EC321A">
        <w:rPr>
          <w:lang w:val="en-GB"/>
        </w:rPr>
        <w:t>in</w:t>
      </w:r>
      <w:r w:rsidR="00895CF7">
        <w:rPr>
          <w:lang w:val="en-GB"/>
        </w:rPr>
        <w:t xml:space="preserve"> different formats</w:t>
      </w:r>
      <w:r w:rsidR="001D5C78" w:rsidRPr="00895CF7">
        <w:rPr>
          <w:lang w:val="en-GB"/>
        </w:rPr>
        <w:t>.</w:t>
      </w:r>
    </w:p>
    <w:p w14:paraId="3C8D4241" w14:textId="77777777" w:rsidR="00E9353C" w:rsidRPr="00E9353C" w:rsidRDefault="00E9353C" w:rsidP="00E9353C">
      <w:pPr>
        <w:spacing w:after="120" w:line="240" w:lineRule="auto"/>
        <w:rPr>
          <w:color w:val="000000" w:themeColor="text1"/>
          <w:lang w:val="en-GB"/>
        </w:rPr>
      </w:pPr>
    </w:p>
    <w:p w14:paraId="123390DB" w14:textId="500D3C08" w:rsidR="00840F1C" w:rsidRPr="0071311E" w:rsidRDefault="00EC321A" w:rsidP="00840F1C">
      <w:pPr>
        <w:pStyle w:val="Paragraphedeliste"/>
        <w:numPr>
          <w:ilvl w:val="0"/>
          <w:numId w:val="6"/>
        </w:numPr>
        <w:spacing w:after="120" w:line="240" w:lineRule="auto"/>
        <w:ind w:left="0"/>
        <w:rPr>
          <w:b/>
          <w:color w:val="11A0AA"/>
          <w:sz w:val="28"/>
          <w:szCs w:val="28"/>
          <w:lang w:val="en-GB"/>
        </w:rPr>
      </w:pPr>
      <w:r w:rsidRPr="0071311E">
        <w:rPr>
          <w:b/>
          <w:color w:val="11A0AA"/>
          <w:sz w:val="28"/>
          <w:szCs w:val="28"/>
          <w:lang w:val="en-GB"/>
        </w:rPr>
        <w:t xml:space="preserve">Prepare </w:t>
      </w:r>
      <w:r w:rsidR="00840F1C" w:rsidRPr="0071311E">
        <w:rPr>
          <w:b/>
          <w:color w:val="11A0AA"/>
          <w:sz w:val="28"/>
          <w:szCs w:val="28"/>
          <w:lang w:val="en-GB"/>
        </w:rPr>
        <w:t xml:space="preserve">strategies to deal with abuse and violence </w:t>
      </w:r>
      <w:r w:rsidRPr="0071311E">
        <w:rPr>
          <w:b/>
          <w:color w:val="11A0AA"/>
          <w:sz w:val="28"/>
          <w:szCs w:val="28"/>
          <w:lang w:val="en-GB"/>
        </w:rPr>
        <w:t>during</w:t>
      </w:r>
      <w:r w:rsidR="00840F1C" w:rsidRPr="0071311E">
        <w:rPr>
          <w:b/>
          <w:color w:val="11A0AA"/>
          <w:sz w:val="28"/>
          <w:szCs w:val="28"/>
          <w:lang w:val="en-GB"/>
        </w:rPr>
        <w:t xml:space="preserve"> confinement</w:t>
      </w:r>
    </w:p>
    <w:p w14:paraId="14789406" w14:textId="2032AA14" w:rsidR="001620C6" w:rsidRDefault="00895CF7" w:rsidP="00F31F61">
      <w:pPr>
        <w:spacing w:after="120" w:line="240" w:lineRule="auto"/>
        <w:rPr>
          <w:lang w:val="en-GB"/>
        </w:rPr>
      </w:pPr>
      <w:r>
        <w:rPr>
          <w:lang w:val="en-GB"/>
        </w:rPr>
        <w:t xml:space="preserve">Alongside policies to combat stigma, </w:t>
      </w:r>
      <w:hyperlink r:id="rId11" w:history="1">
        <w:r w:rsidRPr="009256E9">
          <w:rPr>
            <w:rStyle w:val="Lienhypertexte"/>
            <w:lang w:val="en-GB"/>
          </w:rPr>
          <w:t>violence</w:t>
        </w:r>
        <w:r w:rsidR="00EC321A" w:rsidRPr="009256E9">
          <w:rPr>
            <w:rStyle w:val="Lienhypertexte"/>
            <w:lang w:val="en-GB"/>
          </w:rPr>
          <w:t>,</w:t>
        </w:r>
        <w:r w:rsidRPr="009256E9">
          <w:rPr>
            <w:rStyle w:val="Lienhypertexte"/>
            <w:lang w:val="en-GB"/>
          </w:rPr>
          <w:t xml:space="preserve"> and bullying</w:t>
        </w:r>
      </w:hyperlink>
      <w:r>
        <w:rPr>
          <w:lang w:val="en-GB"/>
        </w:rPr>
        <w:t xml:space="preserve">, </w:t>
      </w:r>
      <w:r w:rsidR="00CB7A9F">
        <w:rPr>
          <w:lang w:val="en-GB"/>
        </w:rPr>
        <w:t xml:space="preserve">it may be useful to develop </w:t>
      </w:r>
      <w:r>
        <w:rPr>
          <w:lang w:val="en-GB"/>
        </w:rPr>
        <w:t xml:space="preserve">specific </w:t>
      </w:r>
      <w:r w:rsidR="001620C6">
        <w:rPr>
          <w:lang w:val="en-GB"/>
        </w:rPr>
        <w:t xml:space="preserve">strategies </w:t>
      </w:r>
      <w:r>
        <w:rPr>
          <w:lang w:val="en-GB"/>
        </w:rPr>
        <w:t xml:space="preserve">to address </w:t>
      </w:r>
      <w:r w:rsidR="001620C6">
        <w:rPr>
          <w:lang w:val="en-GB"/>
        </w:rPr>
        <w:t>problems arising from the unique practical measures taken to combat an epidemic. General population confinement might be a necessary step to halt the spread of disease, but it can have other negative consequences for those co</w:t>
      </w:r>
      <w:r w:rsidR="009256E9">
        <w:rPr>
          <w:lang w:val="en-GB"/>
        </w:rPr>
        <w:t>nfined to their homes. Education authorities can help mitigate the risk.</w:t>
      </w:r>
    </w:p>
    <w:p w14:paraId="0A0D15D5" w14:textId="424F55A8" w:rsidR="005A643E" w:rsidRPr="00895CF7" w:rsidRDefault="002F3E56" w:rsidP="005A643E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>W</w:t>
      </w:r>
      <w:r w:rsidRPr="00895CF7">
        <w:rPr>
          <w:lang w:val="en-GB"/>
        </w:rPr>
        <w:t xml:space="preserve">ork </w:t>
      </w:r>
      <w:r w:rsidR="005A643E" w:rsidRPr="00895CF7">
        <w:rPr>
          <w:lang w:val="en-GB"/>
        </w:rPr>
        <w:t>with families and communities to support children during confinement</w:t>
      </w:r>
      <w:r w:rsidR="00EF0811">
        <w:rPr>
          <w:lang w:val="en-GB"/>
        </w:rPr>
        <w:t xml:space="preserve">, particularly those who may be </w:t>
      </w:r>
      <w:hyperlink r:id="rId12" w:history="1">
        <w:r w:rsidR="00EF0811" w:rsidRPr="009256E9">
          <w:rPr>
            <w:rStyle w:val="Lienhypertexte"/>
            <w:lang w:val="en-GB"/>
          </w:rPr>
          <w:t>vulnerable</w:t>
        </w:r>
        <w:r w:rsidR="00640E6A" w:rsidRPr="009256E9">
          <w:rPr>
            <w:rStyle w:val="Lienhypertexte"/>
            <w:lang w:val="en-GB"/>
          </w:rPr>
          <w:t xml:space="preserve"> to abuse and violence</w:t>
        </w:r>
      </w:hyperlink>
      <w:r>
        <w:rPr>
          <w:lang w:val="en-GB"/>
        </w:rPr>
        <w:t>.</w:t>
      </w:r>
    </w:p>
    <w:p w14:paraId="4F6CFF73" w14:textId="58984332" w:rsidR="00220AE8" w:rsidRDefault="002F3E56" w:rsidP="00B4603A">
      <w:pPr>
        <w:pStyle w:val="Paragraphedeliste"/>
        <w:numPr>
          <w:ilvl w:val="0"/>
          <w:numId w:val="10"/>
        </w:numPr>
        <w:spacing w:after="120" w:line="240" w:lineRule="auto"/>
        <w:rPr>
          <w:lang w:val="en-GB"/>
        </w:rPr>
      </w:pPr>
      <w:r>
        <w:rPr>
          <w:lang w:val="en-GB"/>
        </w:rPr>
        <w:t>Offer</w:t>
      </w:r>
      <w:r w:rsidR="00B4603A" w:rsidRPr="00B4603A">
        <w:rPr>
          <w:lang w:val="en-GB"/>
        </w:rPr>
        <w:t xml:space="preserve"> guidance to students and families about the safe use of screen</w:t>
      </w:r>
      <w:r w:rsidR="00090B21">
        <w:rPr>
          <w:lang w:val="en-GB"/>
        </w:rPr>
        <w:t>s</w:t>
      </w:r>
      <w:r w:rsidR="00B4603A" w:rsidRPr="00B4603A">
        <w:rPr>
          <w:lang w:val="en-GB"/>
        </w:rPr>
        <w:t xml:space="preserve"> and online tools </w:t>
      </w:r>
      <w:r w:rsidR="00090B21">
        <w:rPr>
          <w:lang w:val="en-GB"/>
        </w:rPr>
        <w:t xml:space="preserve">in order </w:t>
      </w:r>
      <w:r w:rsidR="00B4603A" w:rsidRPr="00B4603A">
        <w:rPr>
          <w:lang w:val="en-GB"/>
        </w:rPr>
        <w:t xml:space="preserve">to preserve student well-being and mental health as well as </w:t>
      </w:r>
      <w:r w:rsidR="00090B21">
        <w:rPr>
          <w:lang w:val="en-GB"/>
        </w:rPr>
        <w:t xml:space="preserve">to </w:t>
      </w:r>
      <w:r w:rsidR="00B4603A" w:rsidRPr="00B4603A">
        <w:rPr>
          <w:lang w:val="en-GB"/>
        </w:rPr>
        <w:t>protect</w:t>
      </w:r>
      <w:r w:rsidR="00090B21">
        <w:rPr>
          <w:lang w:val="en-GB"/>
        </w:rPr>
        <w:t xml:space="preserve"> minors</w:t>
      </w:r>
      <w:r w:rsidR="00B4603A" w:rsidRPr="00B4603A">
        <w:rPr>
          <w:lang w:val="en-GB"/>
        </w:rPr>
        <w:t xml:space="preserve"> from online threats</w:t>
      </w:r>
      <w:r w:rsidR="00220AE8" w:rsidRPr="00895CF7">
        <w:rPr>
          <w:lang w:val="en-GB"/>
        </w:rPr>
        <w:t>.</w:t>
      </w:r>
    </w:p>
    <w:p w14:paraId="795A8D35" w14:textId="77777777" w:rsidR="007B5233" w:rsidRPr="00895CF7" w:rsidRDefault="007B5233" w:rsidP="007B5233">
      <w:pPr>
        <w:pStyle w:val="Paragraphedeliste"/>
        <w:spacing w:after="120" w:line="240" w:lineRule="auto"/>
        <w:ind w:left="360"/>
        <w:rPr>
          <w:lang w:val="en-GB"/>
        </w:rPr>
      </w:pPr>
    </w:p>
    <w:p w14:paraId="2390B625" w14:textId="77777777" w:rsidR="00F31F61" w:rsidRPr="0071311E" w:rsidRDefault="00F31F61" w:rsidP="00F31F61">
      <w:pPr>
        <w:shd w:val="clear" w:color="auto" w:fill="E7E6E6" w:themeFill="background2"/>
        <w:spacing w:after="120" w:line="240" w:lineRule="auto"/>
        <w:jc w:val="both"/>
        <w:rPr>
          <w:b/>
          <w:bCs/>
          <w:sz w:val="20"/>
          <w:szCs w:val="20"/>
          <w:lang w:val="en-GB"/>
        </w:rPr>
      </w:pPr>
      <w:r w:rsidRPr="0071311E">
        <w:rPr>
          <w:b/>
          <w:bCs/>
          <w:sz w:val="20"/>
          <w:szCs w:val="20"/>
          <w:lang w:val="en-GB"/>
        </w:rPr>
        <w:t xml:space="preserve">References: </w:t>
      </w:r>
    </w:p>
    <w:p w14:paraId="13641310" w14:textId="77777777" w:rsidR="005667F9" w:rsidRPr="00F91573" w:rsidRDefault="005667F9" w:rsidP="003224D1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CD6CC2">
        <w:rPr>
          <w:rFonts w:cstheme="minorHAnsi"/>
          <w:color w:val="000000"/>
          <w:sz w:val="20"/>
          <w:szCs w:val="20"/>
          <w:lang w:val="en-US"/>
        </w:rPr>
        <w:t>Attawell</w:t>
      </w:r>
      <w:proofErr w:type="spellEnd"/>
      <w:r w:rsidRPr="00CD6CC2">
        <w:rPr>
          <w:rFonts w:cstheme="minorHAnsi"/>
          <w:color w:val="000000"/>
          <w:sz w:val="20"/>
          <w:szCs w:val="20"/>
          <w:lang w:val="en-US"/>
        </w:rPr>
        <w:t xml:space="preserve">, K. </w:t>
      </w:r>
      <w:r>
        <w:rPr>
          <w:rFonts w:cstheme="minorHAnsi"/>
          <w:color w:val="000000"/>
          <w:sz w:val="20"/>
          <w:szCs w:val="20"/>
          <w:lang w:val="en-US"/>
        </w:rPr>
        <w:t xml:space="preserve">2008. </w:t>
      </w:r>
      <w:hyperlink r:id="rId13" w:history="1">
        <w:r w:rsidRPr="00F91573">
          <w:rPr>
            <w:rStyle w:val="Lienhypertexte"/>
            <w:rFonts w:cstheme="minorHAnsi"/>
            <w:i/>
            <w:sz w:val="20"/>
            <w:szCs w:val="20"/>
            <w:lang w:val="en-US"/>
          </w:rPr>
          <w:t>Partnerships in practice:</w:t>
        </w:r>
      </w:hyperlink>
      <w:r w:rsidRPr="00F91573">
        <w:rPr>
          <w:rFonts w:cstheme="minorHAnsi"/>
          <w:i/>
          <w:color w:val="000000"/>
          <w:sz w:val="20"/>
          <w:szCs w:val="20"/>
          <w:lang w:val="en-US"/>
        </w:rPr>
        <w:t xml:space="preserve"> </w:t>
      </w:r>
      <w:hyperlink r:id="rId14" w:history="1">
        <w:r w:rsidRPr="00F91573">
          <w:rPr>
            <w:rStyle w:val="Lienhypertexte"/>
            <w:rFonts w:cstheme="minorHAnsi"/>
            <w:i/>
            <w:sz w:val="20"/>
            <w:szCs w:val="20"/>
            <w:lang w:val="en-US"/>
          </w:rPr>
          <w:t>Good policy and practice in HIV &amp; AIDS and education</w:t>
        </w:r>
      </w:hyperlink>
      <w:r>
        <w:rPr>
          <w:rFonts w:cstheme="minorHAnsi"/>
          <w:color w:val="000000"/>
          <w:sz w:val="20"/>
          <w:szCs w:val="20"/>
          <w:lang w:val="en-US"/>
        </w:rPr>
        <w:t>. Booklet</w:t>
      </w:r>
      <w:r w:rsidRPr="00CD6CC2">
        <w:rPr>
          <w:rFonts w:cstheme="minorHAnsi"/>
          <w:color w:val="000000"/>
          <w:sz w:val="20"/>
          <w:szCs w:val="20"/>
          <w:lang w:val="en-US"/>
        </w:rPr>
        <w:t xml:space="preserve"> 4. Paris: UNESCO.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14:paraId="013C1366" w14:textId="77777777" w:rsidR="005667F9" w:rsidRPr="002F5E2F" w:rsidRDefault="005667F9" w:rsidP="003224D1">
      <w:pPr>
        <w:shd w:val="clear" w:color="auto" w:fill="E7E6E6" w:themeFill="background2"/>
        <w:spacing w:after="120" w:line="24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Caillods</w:t>
      </w:r>
      <w:proofErr w:type="spellEnd"/>
      <w:r>
        <w:rPr>
          <w:sz w:val="20"/>
          <w:szCs w:val="20"/>
          <w:lang w:val="en-GB"/>
        </w:rPr>
        <w:t xml:space="preserve">, F.: Kelly, M.; Tournier, B. 2008. </w:t>
      </w:r>
      <w:hyperlink r:id="rId15" w:history="1">
        <w:r w:rsidRPr="00F91573">
          <w:rPr>
            <w:rStyle w:val="Lienhypertexte"/>
            <w:i/>
            <w:sz w:val="20"/>
            <w:szCs w:val="20"/>
            <w:lang w:val="en-GB"/>
          </w:rPr>
          <w:t>HIV and AIDS: Challenges and approaches within the education sector</w:t>
        </w:r>
      </w:hyperlink>
      <w:r w:rsidRPr="00DF61BA">
        <w:rPr>
          <w:sz w:val="20"/>
          <w:szCs w:val="20"/>
          <w:lang w:val="en-GB"/>
        </w:rPr>
        <w:t xml:space="preserve">. </w:t>
      </w:r>
      <w:r w:rsidRPr="002F5E2F">
        <w:rPr>
          <w:sz w:val="20"/>
          <w:szCs w:val="20"/>
          <w:lang w:val="en-GB"/>
        </w:rPr>
        <w:t>Paris: IIEP-UNESCO.</w:t>
      </w:r>
    </w:p>
    <w:p w14:paraId="78C0E793" w14:textId="717E7F30" w:rsidR="005667F9" w:rsidRDefault="005667F9" w:rsidP="003224D1">
      <w:pPr>
        <w:shd w:val="clear" w:color="auto" w:fill="E7E6E6" w:themeFill="background2"/>
        <w:spacing w:after="12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3C3565">
        <w:rPr>
          <w:rFonts w:cstheme="minorHAnsi"/>
          <w:sz w:val="20"/>
          <w:szCs w:val="20"/>
        </w:rPr>
        <w:t>Carron, G.; Mahshi, K.; De Grauwe, A.</w:t>
      </w:r>
      <w:r w:rsidRPr="003C3565">
        <w:rPr>
          <w:rFonts w:cstheme="minorHAnsi"/>
          <w:color w:val="000000"/>
          <w:sz w:val="20"/>
          <w:szCs w:val="20"/>
        </w:rPr>
        <w:t xml:space="preserve">; </w:t>
      </w:r>
      <w:r w:rsidRPr="003C3565">
        <w:rPr>
          <w:rFonts w:cstheme="minorHAnsi"/>
          <w:sz w:val="20"/>
          <w:szCs w:val="20"/>
        </w:rPr>
        <w:t>Gay, D.</w:t>
      </w:r>
      <w:r w:rsidRPr="003C3565">
        <w:rPr>
          <w:rFonts w:cstheme="minorHAnsi"/>
          <w:color w:val="000000"/>
          <w:sz w:val="20"/>
          <w:szCs w:val="20"/>
        </w:rPr>
        <w:t xml:space="preserve">; </w:t>
      </w:r>
      <w:r w:rsidRPr="003C3565">
        <w:rPr>
          <w:rFonts w:cstheme="minorHAnsi"/>
          <w:sz w:val="20"/>
          <w:szCs w:val="20"/>
        </w:rPr>
        <w:t>Choudhuri, S.</w:t>
      </w:r>
      <w:r w:rsidRPr="003C3565">
        <w:rPr>
          <w:rFonts w:cstheme="minorHAnsi"/>
          <w:color w:val="000000"/>
          <w:sz w:val="20"/>
          <w:szCs w:val="20"/>
        </w:rPr>
        <w:t xml:space="preserve"> 2010. </w:t>
      </w:r>
      <w:hyperlink r:id="rId16" w:history="1">
        <w:r w:rsidRPr="00F91573">
          <w:rPr>
            <w:rStyle w:val="Lienhypertexte"/>
            <w:rFonts w:cstheme="minorHAnsi"/>
            <w:i/>
            <w:sz w:val="20"/>
            <w:szCs w:val="20"/>
            <w:lang w:val="en-US"/>
          </w:rPr>
          <w:t>Strategic planning: Organizational arrangements</w:t>
        </w:r>
      </w:hyperlink>
      <w:r w:rsidRPr="00CD6CC2">
        <w:rPr>
          <w:rFonts w:cstheme="minorHAnsi"/>
          <w:color w:val="000000"/>
          <w:sz w:val="20"/>
          <w:szCs w:val="20"/>
          <w:lang w:val="en-US"/>
        </w:rPr>
        <w:t>. Paris: IIEP-UNESCO.</w:t>
      </w:r>
    </w:p>
    <w:p w14:paraId="5E75DAE8" w14:textId="169CC5F1" w:rsidR="00A75A04" w:rsidRDefault="00A75A04" w:rsidP="003224D1">
      <w:pPr>
        <w:pStyle w:val="Notedebasdepage"/>
        <w:shd w:val="clear" w:color="auto" w:fill="E7E6E6" w:themeFill="background2"/>
        <w:spacing w:after="120"/>
        <w:rPr>
          <w:lang w:val="en-GB"/>
        </w:rPr>
      </w:pPr>
      <w:r>
        <w:rPr>
          <w:lang w:val="en-GB"/>
        </w:rPr>
        <w:t xml:space="preserve">Global Business Coalition for Education. 2014. </w:t>
      </w:r>
      <w:hyperlink r:id="rId17" w:history="1">
        <w:r w:rsidRPr="007B5233">
          <w:rPr>
            <w:rStyle w:val="Lienhypertexte"/>
            <w:i/>
            <w:lang w:val="en-US"/>
          </w:rPr>
          <w:t>Ebola emergency: Restoring education, creating safe schools and preventing a long-term crisis</w:t>
        </w:r>
      </w:hyperlink>
      <w:r>
        <w:rPr>
          <w:lang w:val="en-GB"/>
        </w:rPr>
        <w:t xml:space="preserve">. </w:t>
      </w:r>
    </w:p>
    <w:p w14:paraId="1CE25A56" w14:textId="0FB83E53" w:rsidR="00A75A04" w:rsidRPr="00A75A04" w:rsidRDefault="00A75A04" w:rsidP="003224D1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rPr>
          <w:rStyle w:val="Lienhypertexte"/>
          <w:rFonts w:cstheme="minorHAnsi"/>
          <w:color w:val="000000"/>
          <w:sz w:val="20"/>
          <w:szCs w:val="20"/>
          <w:u w:val="none"/>
          <w:lang w:val="en-US"/>
        </w:rPr>
      </w:pPr>
      <w:r w:rsidRPr="00CA541B">
        <w:rPr>
          <w:rFonts w:cstheme="minorHAnsi"/>
          <w:color w:val="000000"/>
          <w:sz w:val="20"/>
          <w:szCs w:val="20"/>
          <w:lang w:val="en-US"/>
        </w:rPr>
        <w:t xml:space="preserve">IIEP-UNESCO. 2010. </w:t>
      </w:r>
      <w:hyperlink r:id="rId18" w:history="1">
        <w:r w:rsidRPr="00F91573">
          <w:rPr>
            <w:rStyle w:val="Lienhypertexte"/>
            <w:rFonts w:cstheme="minorHAnsi"/>
            <w:i/>
            <w:sz w:val="20"/>
            <w:szCs w:val="20"/>
            <w:lang w:val="en-US"/>
          </w:rPr>
          <w:t>Guidebook for planning education in emergencies and reconstruction</w:t>
        </w:r>
      </w:hyperlink>
      <w:r w:rsidRPr="00CA541B">
        <w:rPr>
          <w:rFonts w:cstheme="minorHAnsi"/>
          <w:color w:val="000000"/>
          <w:sz w:val="20"/>
          <w:szCs w:val="20"/>
          <w:lang w:val="en-US"/>
        </w:rPr>
        <w:t xml:space="preserve">. </w:t>
      </w:r>
      <w:r w:rsidRPr="00F91573">
        <w:rPr>
          <w:rFonts w:cstheme="minorHAnsi"/>
          <w:color w:val="000000"/>
          <w:sz w:val="20"/>
          <w:szCs w:val="20"/>
          <w:lang w:val="en-US"/>
        </w:rPr>
        <w:t>Paris: IIEP-UNESCO.</w:t>
      </w:r>
      <w:r w:rsidRPr="009069D7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14:paraId="2746BB30" w14:textId="70C3ED2F" w:rsidR="00A75A04" w:rsidRDefault="00A75A04" w:rsidP="003224D1">
      <w:pPr>
        <w:pStyle w:val="Notedebasdepage"/>
        <w:shd w:val="clear" w:color="auto" w:fill="E7E6E6" w:themeFill="background2"/>
        <w:spacing w:after="120"/>
        <w:rPr>
          <w:lang w:val="en-GB"/>
        </w:rPr>
      </w:pPr>
      <w:r w:rsidRPr="00B4603A">
        <w:rPr>
          <w:lang w:val="en-GB"/>
        </w:rPr>
        <w:t xml:space="preserve">Reimers, F.M.; </w:t>
      </w:r>
      <w:proofErr w:type="spellStart"/>
      <w:r w:rsidRPr="00B4603A">
        <w:rPr>
          <w:lang w:val="en-GB"/>
        </w:rPr>
        <w:t>Schleicher</w:t>
      </w:r>
      <w:proofErr w:type="spellEnd"/>
      <w:r w:rsidRPr="00B4603A">
        <w:rPr>
          <w:lang w:val="en-GB"/>
        </w:rPr>
        <w:t xml:space="preserve">, A. 2020. </w:t>
      </w:r>
      <w:hyperlink r:id="rId19" w:history="1">
        <w:r w:rsidRPr="007B5233">
          <w:rPr>
            <w:rStyle w:val="Lienhypertexte"/>
            <w:i/>
            <w:lang w:val="en-GB"/>
          </w:rPr>
          <w:t>A framework to guide an education response to the COVID-19 pandemic of 2020</w:t>
        </w:r>
      </w:hyperlink>
      <w:r w:rsidRPr="00B4603A">
        <w:rPr>
          <w:lang w:val="en-GB"/>
        </w:rPr>
        <w:t>. OECD.</w:t>
      </w:r>
    </w:p>
    <w:p w14:paraId="4CCC6875" w14:textId="729EE4E5" w:rsidR="005667F9" w:rsidRDefault="00194C49" w:rsidP="003224D1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rPr>
          <w:lang w:val="en-GB"/>
        </w:rPr>
      </w:pPr>
      <w:r w:rsidRPr="00CD6CC2">
        <w:rPr>
          <w:rFonts w:cstheme="minorHAnsi"/>
          <w:color w:val="000000"/>
          <w:sz w:val="20"/>
          <w:szCs w:val="20"/>
          <w:lang w:val="en-US"/>
        </w:rPr>
        <w:t>UNICEF. 2020</w:t>
      </w:r>
      <w:r w:rsidRPr="007B5233">
        <w:rPr>
          <w:rFonts w:cstheme="minorHAnsi"/>
          <w:i/>
          <w:color w:val="000000"/>
          <w:sz w:val="20"/>
          <w:szCs w:val="20"/>
          <w:lang w:val="en-US"/>
        </w:rPr>
        <w:t>a</w:t>
      </w:r>
      <w:r w:rsidRPr="00CD6CC2">
        <w:rPr>
          <w:rFonts w:cstheme="minorHAnsi"/>
          <w:color w:val="000000"/>
          <w:sz w:val="20"/>
          <w:szCs w:val="20"/>
          <w:lang w:val="en-US"/>
        </w:rPr>
        <w:t xml:space="preserve">. </w:t>
      </w:r>
      <w:hyperlink r:id="rId20" w:history="1">
        <w:r w:rsidRPr="00F91573">
          <w:rPr>
            <w:rStyle w:val="Lienhypertexte"/>
            <w:rFonts w:cstheme="minorHAnsi"/>
            <w:i/>
            <w:sz w:val="20"/>
            <w:szCs w:val="20"/>
            <w:lang w:val="en-US"/>
          </w:rPr>
          <w:t>Key Messages and Actions for COVID-19 Prevention and Control in Schools</w:t>
        </w:r>
      </w:hyperlink>
      <w:r w:rsidRPr="00CD6CC2">
        <w:rPr>
          <w:rFonts w:cstheme="minorHAnsi"/>
          <w:color w:val="000000"/>
          <w:sz w:val="20"/>
          <w:szCs w:val="20"/>
          <w:lang w:val="en-US"/>
        </w:rPr>
        <w:t>.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CD6CC2">
        <w:rPr>
          <w:rFonts w:cstheme="minorHAnsi"/>
          <w:color w:val="000000"/>
          <w:sz w:val="20"/>
          <w:szCs w:val="20"/>
          <w:lang w:val="en-US"/>
        </w:rPr>
        <w:t>New York</w:t>
      </w:r>
      <w:r>
        <w:rPr>
          <w:rFonts w:cstheme="minorHAnsi"/>
          <w:color w:val="000000"/>
          <w:sz w:val="20"/>
          <w:szCs w:val="20"/>
          <w:lang w:val="en-US"/>
        </w:rPr>
        <w:t>, NY</w:t>
      </w:r>
      <w:r w:rsidRPr="00CD6CC2">
        <w:rPr>
          <w:rFonts w:cstheme="minorHAnsi"/>
          <w:color w:val="000000"/>
          <w:sz w:val="20"/>
          <w:szCs w:val="20"/>
          <w:lang w:val="en-US"/>
        </w:rPr>
        <w:t xml:space="preserve">: </w:t>
      </w:r>
      <w:r>
        <w:rPr>
          <w:rFonts w:cstheme="minorHAnsi"/>
          <w:color w:val="000000"/>
          <w:sz w:val="20"/>
          <w:szCs w:val="20"/>
          <w:lang w:val="en-US"/>
        </w:rPr>
        <w:t>UNICEF.</w:t>
      </w:r>
    </w:p>
    <w:p w14:paraId="3CAE9B62" w14:textId="6CFD4A8A" w:rsidR="00194C49" w:rsidRDefault="00194C49" w:rsidP="003224D1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rPr>
          <w:i/>
          <w:iCs/>
          <w:sz w:val="20"/>
          <w:szCs w:val="20"/>
          <w:lang w:val="en-US"/>
        </w:rPr>
      </w:pPr>
      <w:r w:rsidRPr="000F1C56">
        <w:rPr>
          <w:rFonts w:cstheme="minorHAnsi"/>
          <w:color w:val="000000"/>
          <w:sz w:val="20"/>
          <w:szCs w:val="20"/>
          <w:lang w:val="en-US"/>
        </w:rPr>
        <w:t>UNICEF</w:t>
      </w:r>
      <w:r w:rsidRPr="007B5233">
        <w:rPr>
          <w:sz w:val="20"/>
          <w:szCs w:val="20"/>
          <w:lang w:val="en-US"/>
        </w:rPr>
        <w:t>. 2020</w:t>
      </w:r>
      <w:r>
        <w:rPr>
          <w:i/>
          <w:iCs/>
          <w:sz w:val="20"/>
          <w:szCs w:val="20"/>
          <w:lang w:val="en-US"/>
        </w:rPr>
        <w:t>b</w:t>
      </w:r>
      <w:r w:rsidRPr="007B5233">
        <w:rPr>
          <w:sz w:val="20"/>
          <w:szCs w:val="20"/>
          <w:lang w:val="en-US"/>
        </w:rPr>
        <w:t>. ‘</w:t>
      </w:r>
      <w:hyperlink r:id="rId21" w:history="1">
        <w:r w:rsidRPr="007B5233">
          <w:rPr>
            <w:rStyle w:val="Lienhypertexte"/>
            <w:iCs/>
            <w:sz w:val="20"/>
            <w:szCs w:val="20"/>
            <w:lang w:val="en-US"/>
          </w:rPr>
          <w:t>How teachers can talk to children about coronavirus disease (COVID-19)</w:t>
        </w:r>
      </w:hyperlink>
      <w:r w:rsidRPr="007B5233">
        <w:rPr>
          <w:iCs/>
          <w:sz w:val="20"/>
          <w:szCs w:val="20"/>
          <w:lang w:val="en-US"/>
        </w:rPr>
        <w:t>’</w:t>
      </w:r>
      <w:r w:rsidRPr="007B5233">
        <w:rPr>
          <w:i/>
          <w:iCs/>
          <w:sz w:val="20"/>
          <w:szCs w:val="20"/>
          <w:lang w:val="en-US"/>
        </w:rPr>
        <w:t xml:space="preserve">. </w:t>
      </w:r>
    </w:p>
    <w:p w14:paraId="4C21883E" w14:textId="4E08B9E9" w:rsidR="00A75A04" w:rsidRDefault="00A75A04" w:rsidP="003224D1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cstheme="minorHAnsi"/>
          <w:color w:val="000000"/>
          <w:sz w:val="20"/>
          <w:szCs w:val="20"/>
          <w:lang w:val="en-US"/>
        </w:rPr>
      </w:pPr>
      <w:r>
        <w:rPr>
          <w:rFonts w:cstheme="minorHAnsi"/>
          <w:color w:val="000000"/>
          <w:sz w:val="20"/>
          <w:szCs w:val="20"/>
          <w:lang w:val="en-US"/>
        </w:rPr>
        <w:t>UNICEF; WHO; IFRC. 2020</w:t>
      </w:r>
      <w:r w:rsidRPr="00CD6CC2">
        <w:rPr>
          <w:rFonts w:cstheme="minorHAnsi"/>
          <w:color w:val="000000"/>
          <w:sz w:val="20"/>
          <w:szCs w:val="20"/>
          <w:lang w:val="en-US"/>
        </w:rPr>
        <w:t xml:space="preserve">. </w:t>
      </w:r>
      <w:r>
        <w:rPr>
          <w:rFonts w:cstheme="minorHAnsi"/>
          <w:color w:val="000000"/>
          <w:sz w:val="20"/>
          <w:szCs w:val="20"/>
          <w:lang w:val="en-US"/>
        </w:rPr>
        <w:t>‘</w:t>
      </w:r>
      <w:hyperlink r:id="rId22" w:history="1">
        <w:r w:rsidRPr="00CD6CC2">
          <w:rPr>
            <w:rFonts w:cstheme="minorHAnsi"/>
            <w:color w:val="0B4CB4"/>
            <w:sz w:val="20"/>
            <w:szCs w:val="20"/>
            <w:u w:val="single" w:color="0B4CB4"/>
            <w:lang w:val="en-US"/>
          </w:rPr>
          <w:t>Guidance for COVID-19 prevention and control in schools</w:t>
        </w:r>
      </w:hyperlink>
      <w:r>
        <w:rPr>
          <w:rFonts w:cstheme="minorHAnsi"/>
          <w:color w:val="0B4CB4"/>
          <w:sz w:val="20"/>
          <w:szCs w:val="20"/>
          <w:u w:val="single" w:color="0B4CB4"/>
          <w:lang w:val="en-US"/>
        </w:rPr>
        <w:t>’</w:t>
      </w:r>
      <w:r w:rsidRPr="00CD6CC2">
        <w:rPr>
          <w:rFonts w:cstheme="minorHAnsi"/>
          <w:color w:val="000000"/>
          <w:sz w:val="20"/>
          <w:szCs w:val="20"/>
          <w:lang w:val="en-US"/>
        </w:rPr>
        <w:t>. New York, NY: UNICEF.</w:t>
      </w:r>
    </w:p>
    <w:p w14:paraId="3FD10DB7" w14:textId="39C2AD12" w:rsidR="00A75A04" w:rsidRDefault="00A75A04" w:rsidP="003224D1">
      <w:pPr>
        <w:shd w:val="clear" w:color="auto" w:fill="E7E6E6" w:themeFill="background2"/>
        <w:spacing w:after="12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World Bank. 2020. </w:t>
      </w:r>
      <w:hyperlink r:id="rId23" w:history="1">
        <w:r w:rsidRPr="007B5233">
          <w:rPr>
            <w:rStyle w:val="Lienhypertexte"/>
            <w:i/>
            <w:lang w:val="en-US"/>
          </w:rPr>
          <w:t>Guidance Note on Education Systems’ Response to COVID19</w:t>
        </w:r>
      </w:hyperlink>
      <w:r w:rsidRPr="00FC7279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World Bank.</w:t>
      </w:r>
    </w:p>
    <w:p w14:paraId="2A542F96" w14:textId="258703D8" w:rsidR="0071311E" w:rsidRPr="0071311E" w:rsidRDefault="0071311E" w:rsidP="003224D1">
      <w:pPr>
        <w:shd w:val="clear" w:color="auto" w:fill="E7E6E6" w:themeFill="background2"/>
        <w:autoSpaceDE w:val="0"/>
        <w:autoSpaceDN w:val="0"/>
        <w:adjustRightInd w:val="0"/>
        <w:spacing w:after="120"/>
        <w:rPr>
          <w:lang w:val="en-GB"/>
        </w:rPr>
      </w:pPr>
      <w:r w:rsidRPr="003A6CA2">
        <w:rPr>
          <w:rFonts w:cstheme="minorHAnsi"/>
          <w:b/>
          <w:bCs/>
          <w:color w:val="000000"/>
          <w:sz w:val="20"/>
          <w:szCs w:val="20"/>
          <w:lang w:val="en-US"/>
        </w:rPr>
        <w:t>Access to all IIEP-UNESCO’s COVID-19 response briefs:</w:t>
      </w:r>
      <w:r w:rsidRPr="00FF51C1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FF51C1">
        <w:rPr>
          <w:rFonts w:cstheme="minorHAnsi"/>
          <w:color w:val="000000"/>
          <w:sz w:val="20"/>
          <w:szCs w:val="20"/>
          <w:lang w:val="en-US"/>
        </w:rPr>
        <w:br/>
      </w:r>
      <w:hyperlink r:id="rId24" w:history="1">
        <w:r w:rsidRPr="00FF51C1">
          <w:rPr>
            <w:rStyle w:val="Lienhypertexte"/>
            <w:rFonts w:cstheme="minorHAnsi"/>
            <w:sz w:val="20"/>
            <w:szCs w:val="20"/>
            <w:lang w:val="en-US"/>
          </w:rPr>
          <w:t>http://www.iiep.unesco.org/en/five-steps-support-education-all-time-covid-19</w:t>
        </w:r>
      </w:hyperlink>
      <w:r w:rsidRPr="00FF51C1">
        <w:rPr>
          <w:rFonts w:cstheme="minorHAnsi"/>
          <w:color w:val="000000"/>
          <w:sz w:val="20"/>
          <w:szCs w:val="20"/>
          <w:lang w:val="en-US"/>
        </w:rPr>
        <w:t xml:space="preserve"> </w:t>
      </w:r>
      <w:r>
        <w:rPr>
          <w:lang w:val="en-GB"/>
        </w:rPr>
        <w:br/>
      </w:r>
    </w:p>
    <w:p w14:paraId="3D9FEFFF" w14:textId="77777777" w:rsidR="00F31F61" w:rsidRPr="00F31F61" w:rsidRDefault="00F31F61" w:rsidP="00F31F61">
      <w:pPr>
        <w:spacing w:after="120" w:line="240" w:lineRule="auto"/>
        <w:rPr>
          <w:b/>
          <w:color w:val="000000" w:themeColor="text1"/>
          <w:sz w:val="28"/>
          <w:szCs w:val="28"/>
          <w:lang w:val="en-GB"/>
        </w:rPr>
      </w:pPr>
    </w:p>
    <w:sectPr w:rsidR="00F31F61" w:rsidRPr="00F31F61" w:rsidSect="0071311E">
      <w:headerReference w:type="default" r:id="rId25"/>
      <w:footerReference w:type="default" r:id="rId26"/>
      <w:headerReference w:type="first" r:id="rId27"/>
      <w:footerReference w:type="first" r:id="rId28"/>
      <w:pgSz w:w="11900" w:h="16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23E8" w14:textId="77777777" w:rsidR="009A05F1" w:rsidRDefault="009A05F1" w:rsidP="00265081">
      <w:pPr>
        <w:spacing w:after="0" w:line="240" w:lineRule="auto"/>
      </w:pPr>
      <w:r>
        <w:separator/>
      </w:r>
    </w:p>
  </w:endnote>
  <w:endnote w:type="continuationSeparator" w:id="0">
    <w:p w14:paraId="36498592" w14:textId="77777777" w:rsidR="009A05F1" w:rsidRDefault="009A05F1" w:rsidP="0026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637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1C89E" w14:textId="70A5E7BA" w:rsidR="007B4AA0" w:rsidRDefault="007B4AA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4A53CE" w14:textId="6B38A43D" w:rsidR="007B4AA0" w:rsidRDefault="0071311E">
    <w:pPr>
      <w:pStyle w:val="Pieddepage"/>
    </w:pPr>
    <w:r>
      <w:rPr>
        <w:rFonts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196B7" wp14:editId="33392DA5">
              <wp:simplePos x="0" y="0"/>
              <wp:positionH relativeFrom="page">
                <wp:align>left</wp:align>
              </wp:positionH>
              <wp:positionV relativeFrom="paragraph">
                <wp:posOffset>523875</wp:posOffset>
              </wp:positionV>
              <wp:extent cx="7572375" cy="7620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29A318" id="Rectangle 8" o:spid="_x0000_s1026" style="position:absolute;margin-left:0;margin-top:41.25pt;width:596.25pt;height:6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" fillcolor="#11a0b3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42CC" w14:textId="6FC6A71E" w:rsidR="0071311E" w:rsidRDefault="0071311E">
    <w:pPr>
      <w:pStyle w:val="Pieddepage"/>
    </w:pPr>
    <w:r>
      <w:rPr>
        <w:rFonts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623A8" wp14:editId="4C999B1E">
              <wp:simplePos x="0" y="0"/>
              <wp:positionH relativeFrom="page">
                <wp:posOffset>9525</wp:posOffset>
              </wp:positionH>
              <wp:positionV relativeFrom="paragraph">
                <wp:posOffset>523875</wp:posOffset>
              </wp:positionV>
              <wp:extent cx="7572375" cy="762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F360D" id="Rectangle 3" o:spid="_x0000_s1026" style="position:absolute;margin-left:.75pt;margin-top:41.25pt;width:596.25pt;height: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" fillcolor="#11a0b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3280" w14:textId="77777777" w:rsidR="009A05F1" w:rsidRDefault="009A05F1" w:rsidP="00265081">
      <w:pPr>
        <w:spacing w:after="0" w:line="240" w:lineRule="auto"/>
      </w:pPr>
      <w:r>
        <w:separator/>
      </w:r>
    </w:p>
  </w:footnote>
  <w:footnote w:type="continuationSeparator" w:id="0">
    <w:p w14:paraId="1281E0F5" w14:textId="77777777" w:rsidR="009A05F1" w:rsidRDefault="009A05F1" w:rsidP="0026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038C" w14:textId="4A134224" w:rsidR="0071311E" w:rsidRDefault="0071311E">
    <w:pPr>
      <w:pStyle w:val="En-tte"/>
    </w:pPr>
  </w:p>
  <w:p w14:paraId="5D630BF6" w14:textId="77777777" w:rsidR="0071311E" w:rsidRDefault="007131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5CCF" w14:textId="78773EA2" w:rsidR="0071311E" w:rsidRDefault="0071311E" w:rsidP="0071311E">
    <w:pPr>
      <w:pStyle w:val="En-tte"/>
      <w:ind w:left="-1418"/>
    </w:pPr>
    <w:r>
      <w:rPr>
        <w:noProof/>
      </w:rPr>
      <w:drawing>
        <wp:inline distT="0" distB="0" distL="0" distR="0" wp14:anchorId="11AAC27E" wp14:editId="25E790C5">
          <wp:extent cx="7605972" cy="230895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72" cy="230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A0B"/>
    <w:multiLevelType w:val="hybridMultilevel"/>
    <w:tmpl w:val="9EDC0650"/>
    <w:lvl w:ilvl="0" w:tplc="79089C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431E1"/>
    <w:multiLevelType w:val="hybridMultilevel"/>
    <w:tmpl w:val="649086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A6FB0"/>
    <w:multiLevelType w:val="hybridMultilevel"/>
    <w:tmpl w:val="5FC48090"/>
    <w:lvl w:ilvl="0" w:tplc="32BA626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96E00"/>
    <w:multiLevelType w:val="hybridMultilevel"/>
    <w:tmpl w:val="01766142"/>
    <w:lvl w:ilvl="0" w:tplc="5A083B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80045"/>
    <w:multiLevelType w:val="hybridMultilevel"/>
    <w:tmpl w:val="0982172C"/>
    <w:lvl w:ilvl="0" w:tplc="48AC6356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3479"/>
    <w:multiLevelType w:val="hybridMultilevel"/>
    <w:tmpl w:val="6E86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4ED5"/>
    <w:multiLevelType w:val="hybridMultilevel"/>
    <w:tmpl w:val="137A8FE8"/>
    <w:lvl w:ilvl="0" w:tplc="79089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44B6"/>
    <w:multiLevelType w:val="hybridMultilevel"/>
    <w:tmpl w:val="93D2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5A69"/>
    <w:multiLevelType w:val="hybridMultilevel"/>
    <w:tmpl w:val="78D03B1A"/>
    <w:lvl w:ilvl="0" w:tplc="040C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54477048"/>
    <w:multiLevelType w:val="multilevel"/>
    <w:tmpl w:val="A2DA1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18A13A7"/>
    <w:multiLevelType w:val="hybridMultilevel"/>
    <w:tmpl w:val="18024C50"/>
    <w:lvl w:ilvl="0" w:tplc="41EA2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78"/>
    <w:rsid w:val="00012AB2"/>
    <w:rsid w:val="00073FD1"/>
    <w:rsid w:val="00090B21"/>
    <w:rsid w:val="00097234"/>
    <w:rsid w:val="000A0910"/>
    <w:rsid w:val="000A58B7"/>
    <w:rsid w:val="000E0A94"/>
    <w:rsid w:val="000F41D3"/>
    <w:rsid w:val="00115538"/>
    <w:rsid w:val="001620C6"/>
    <w:rsid w:val="0018688E"/>
    <w:rsid w:val="00194C49"/>
    <w:rsid w:val="001A6026"/>
    <w:rsid w:val="001B27FB"/>
    <w:rsid w:val="001D5C78"/>
    <w:rsid w:val="001F673A"/>
    <w:rsid w:val="0020198E"/>
    <w:rsid w:val="00202940"/>
    <w:rsid w:val="00211FDB"/>
    <w:rsid w:val="0021227E"/>
    <w:rsid w:val="00220AE8"/>
    <w:rsid w:val="00265081"/>
    <w:rsid w:val="00271531"/>
    <w:rsid w:val="0028493B"/>
    <w:rsid w:val="002A61B4"/>
    <w:rsid w:val="002B7892"/>
    <w:rsid w:val="002C342E"/>
    <w:rsid w:val="002E55A0"/>
    <w:rsid w:val="002E69CE"/>
    <w:rsid w:val="002F3E56"/>
    <w:rsid w:val="002F5E2F"/>
    <w:rsid w:val="003038BF"/>
    <w:rsid w:val="003224D1"/>
    <w:rsid w:val="00377B1E"/>
    <w:rsid w:val="003B562C"/>
    <w:rsid w:val="003C3565"/>
    <w:rsid w:val="003C4B08"/>
    <w:rsid w:val="003F038C"/>
    <w:rsid w:val="003F50F8"/>
    <w:rsid w:val="0041600D"/>
    <w:rsid w:val="004257D0"/>
    <w:rsid w:val="00432155"/>
    <w:rsid w:val="00441DC6"/>
    <w:rsid w:val="0045111F"/>
    <w:rsid w:val="00453E4E"/>
    <w:rsid w:val="00465FB8"/>
    <w:rsid w:val="00497E7F"/>
    <w:rsid w:val="004A3D4E"/>
    <w:rsid w:val="004A6E28"/>
    <w:rsid w:val="004B2F8E"/>
    <w:rsid w:val="004C16FC"/>
    <w:rsid w:val="004C62A8"/>
    <w:rsid w:val="004E4DFA"/>
    <w:rsid w:val="004E7D30"/>
    <w:rsid w:val="0053669D"/>
    <w:rsid w:val="00536832"/>
    <w:rsid w:val="00537101"/>
    <w:rsid w:val="0054477C"/>
    <w:rsid w:val="005667F9"/>
    <w:rsid w:val="005762C8"/>
    <w:rsid w:val="005A05C9"/>
    <w:rsid w:val="005A30B2"/>
    <w:rsid w:val="005A643E"/>
    <w:rsid w:val="005C534E"/>
    <w:rsid w:val="005D6A49"/>
    <w:rsid w:val="00615BCB"/>
    <w:rsid w:val="006179CA"/>
    <w:rsid w:val="00617C24"/>
    <w:rsid w:val="0062119C"/>
    <w:rsid w:val="00640E6A"/>
    <w:rsid w:val="0066644B"/>
    <w:rsid w:val="00681A92"/>
    <w:rsid w:val="00687BF6"/>
    <w:rsid w:val="006A615A"/>
    <w:rsid w:val="006D7E1C"/>
    <w:rsid w:val="006E0DDE"/>
    <w:rsid w:val="006E1A24"/>
    <w:rsid w:val="0071311E"/>
    <w:rsid w:val="00721D99"/>
    <w:rsid w:val="007227FA"/>
    <w:rsid w:val="00736D87"/>
    <w:rsid w:val="0073797B"/>
    <w:rsid w:val="0077212C"/>
    <w:rsid w:val="007A3F02"/>
    <w:rsid w:val="007B4AA0"/>
    <w:rsid w:val="007B5233"/>
    <w:rsid w:val="007C2B1F"/>
    <w:rsid w:val="007D21B0"/>
    <w:rsid w:val="007E4175"/>
    <w:rsid w:val="00840F1C"/>
    <w:rsid w:val="00846283"/>
    <w:rsid w:val="00850845"/>
    <w:rsid w:val="00855701"/>
    <w:rsid w:val="00864AC6"/>
    <w:rsid w:val="00881E75"/>
    <w:rsid w:val="00887B12"/>
    <w:rsid w:val="00893E64"/>
    <w:rsid w:val="00895CF7"/>
    <w:rsid w:val="008A134F"/>
    <w:rsid w:val="008A5887"/>
    <w:rsid w:val="008B5AF4"/>
    <w:rsid w:val="008C2FDB"/>
    <w:rsid w:val="008C6547"/>
    <w:rsid w:val="008F2D3E"/>
    <w:rsid w:val="00917B17"/>
    <w:rsid w:val="00923FC1"/>
    <w:rsid w:val="00924CA1"/>
    <w:rsid w:val="009256E9"/>
    <w:rsid w:val="009270A6"/>
    <w:rsid w:val="00943783"/>
    <w:rsid w:val="009527EE"/>
    <w:rsid w:val="009656C5"/>
    <w:rsid w:val="00974A12"/>
    <w:rsid w:val="00975187"/>
    <w:rsid w:val="009A05F1"/>
    <w:rsid w:val="009A4B78"/>
    <w:rsid w:val="00A4492B"/>
    <w:rsid w:val="00A62070"/>
    <w:rsid w:val="00A75A04"/>
    <w:rsid w:val="00A92B1C"/>
    <w:rsid w:val="00A92F73"/>
    <w:rsid w:val="00AA364E"/>
    <w:rsid w:val="00AB57A5"/>
    <w:rsid w:val="00AC55C5"/>
    <w:rsid w:val="00AD37DE"/>
    <w:rsid w:val="00AD72C9"/>
    <w:rsid w:val="00AF39C6"/>
    <w:rsid w:val="00B038CC"/>
    <w:rsid w:val="00B4603A"/>
    <w:rsid w:val="00B6512E"/>
    <w:rsid w:val="00B717D2"/>
    <w:rsid w:val="00B818C2"/>
    <w:rsid w:val="00C02004"/>
    <w:rsid w:val="00C15003"/>
    <w:rsid w:val="00C37DC1"/>
    <w:rsid w:val="00C45D66"/>
    <w:rsid w:val="00C55B5C"/>
    <w:rsid w:val="00C66189"/>
    <w:rsid w:val="00C7482A"/>
    <w:rsid w:val="00C80CA1"/>
    <w:rsid w:val="00C82162"/>
    <w:rsid w:val="00C94770"/>
    <w:rsid w:val="00CB3C8C"/>
    <w:rsid w:val="00CB7A9F"/>
    <w:rsid w:val="00CC4FB5"/>
    <w:rsid w:val="00CD1D20"/>
    <w:rsid w:val="00CD354B"/>
    <w:rsid w:val="00D108F0"/>
    <w:rsid w:val="00D16975"/>
    <w:rsid w:val="00D31DFE"/>
    <w:rsid w:val="00D333DB"/>
    <w:rsid w:val="00D55831"/>
    <w:rsid w:val="00D65F26"/>
    <w:rsid w:val="00D71632"/>
    <w:rsid w:val="00DB4665"/>
    <w:rsid w:val="00DC59E1"/>
    <w:rsid w:val="00DC7DBF"/>
    <w:rsid w:val="00DF61BA"/>
    <w:rsid w:val="00E06EA8"/>
    <w:rsid w:val="00E34491"/>
    <w:rsid w:val="00E443ED"/>
    <w:rsid w:val="00E477D8"/>
    <w:rsid w:val="00E51B6D"/>
    <w:rsid w:val="00E6785C"/>
    <w:rsid w:val="00E9353C"/>
    <w:rsid w:val="00E948F1"/>
    <w:rsid w:val="00E97C1D"/>
    <w:rsid w:val="00EA36C8"/>
    <w:rsid w:val="00EB52D9"/>
    <w:rsid w:val="00EB6D1F"/>
    <w:rsid w:val="00EC070B"/>
    <w:rsid w:val="00EC19B1"/>
    <w:rsid w:val="00EC321A"/>
    <w:rsid w:val="00ED47FF"/>
    <w:rsid w:val="00EF0811"/>
    <w:rsid w:val="00F2561A"/>
    <w:rsid w:val="00F31F61"/>
    <w:rsid w:val="00F620BE"/>
    <w:rsid w:val="00F77899"/>
    <w:rsid w:val="00FC7279"/>
    <w:rsid w:val="00FD16C8"/>
    <w:rsid w:val="00FD34B1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B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78"/>
    <w:pPr>
      <w:spacing w:after="160" w:line="259" w:lineRule="auto"/>
    </w:pPr>
    <w:rPr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8C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97C1D"/>
    <w:pPr>
      <w:numPr>
        <w:numId w:val="6"/>
      </w:numPr>
      <w:outlineLvl w:val="1"/>
    </w:pPr>
    <w:rPr>
      <w:b/>
      <w:color w:val="000000" w:themeColor="text1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1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B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11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11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C2F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2650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5081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6508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97C1D"/>
    <w:rPr>
      <w:b/>
      <w:color w:val="000000" w:themeColor="text1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B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AA0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AA0"/>
    <w:rPr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31F61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paragraph" w:styleId="NormalWeb">
    <w:name w:val="Normal (Web)"/>
    <w:basedOn w:val="Normal"/>
    <w:uiPriority w:val="99"/>
    <w:semiHidden/>
    <w:unhideWhenUsed/>
    <w:rsid w:val="00E9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0A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A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AE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A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AE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AE8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21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vhealthclearinghouse.unesco.org/library/search/_all_/theme/covid-19" TargetMode="External"/><Relationship Id="rId13" Type="http://schemas.openxmlformats.org/officeDocument/2006/relationships/hyperlink" Target="https://unesdoc.unesco.org/ark:/48223/pf0000179715/PDF/179715eng.pdf.multi" TargetMode="External"/><Relationship Id="rId18" Type="http://schemas.openxmlformats.org/officeDocument/2006/relationships/hyperlink" Target="https://unesdoc.unesco.org/ark:/48223/pf0000190223/PDF/190223eng.pdf.mult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unicef.org/coronavirus/how-teachers-can-talk-children-about-coronavirus-disease-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d-violence.org/articles/new-resource-pack-positive-parenting-covid-19-isolation" TargetMode="External"/><Relationship Id="rId17" Type="http://schemas.openxmlformats.org/officeDocument/2006/relationships/hyperlink" Target="https://gbc-education.org/wp-content/uploads/2014/12/EbolaandEducationReport122014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nesdoc.unesco.org/ark:/48223/pf0000189758/PDF/189758eng.pdf.multi" TargetMode="External"/><Relationship Id="rId20" Type="http://schemas.openxmlformats.org/officeDocument/2006/relationships/hyperlink" Target="http://www.unicef.org/romania/documents/key-messages-and-actions-covid-19-prevention-and-control-school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ep.unesco.org/en/making-schools-safe-place-how-prevent-school-violence-and-bullying-13332" TargetMode="External"/><Relationship Id="rId24" Type="http://schemas.openxmlformats.org/officeDocument/2006/relationships/hyperlink" Target="http://www.iiep.unesco.org/en/five-steps-support-education-all-time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esdoc.unesco.org/ark:/48223/pf0000180406" TargetMode="External"/><Relationship Id="rId23" Type="http://schemas.openxmlformats.org/officeDocument/2006/relationships/hyperlink" Target="http://pubdocs.worldbank.org/en/450881585235950757/COVID19-Education-Sector-Guidance-Note-March26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unicef.org/coronavirus/how-teachers-can-talk-children-about-coronavirus-disease-covid-19" TargetMode="External"/><Relationship Id="rId19" Type="http://schemas.openxmlformats.org/officeDocument/2006/relationships/hyperlink" Target="https://globaled.gse.harvard.edu/files/geii/files/framework_guide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media/66036/file/Key%20Messages%20and%20Actions%20for%20COVID-19%20Prevention%20and%20Control%20in%20Schools_March%202020.pdf" TargetMode="External"/><Relationship Id="rId14" Type="http://schemas.openxmlformats.org/officeDocument/2006/relationships/hyperlink" Target="https://unesdoc.unesco.org/ark:/48223/pf0000179715/PDF/179715eng.pdf.multi" TargetMode="External"/><Relationship Id="rId22" Type="http://schemas.openxmlformats.org/officeDocument/2006/relationships/hyperlink" Target="https://www.unicef.org/georgia/press-releases/covid-19-ifrc-unicef-and-who-issue-guidance-protect-children-and-support-safe-schoo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827-E461-4E05-963C-9DE9C7ED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6035</Characters>
  <Application>Microsoft Office Word</Application>
  <DocSecurity>2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2020-04-15T09:19:00Z</dcterms:created>
  <dcterms:modified xsi:type="dcterms:W3CDTF">2020-04-15T09:19:00Z</dcterms:modified>
</cp:coreProperties>
</file>