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FC1FB" w14:textId="77777777" w:rsidR="00FF51C1" w:rsidRDefault="00FF51C1" w:rsidP="0073662E">
      <w:pPr>
        <w:spacing w:after="0" w:line="240" w:lineRule="auto"/>
        <w:jc w:val="both"/>
        <w:rPr>
          <w:lang w:val="en-GB"/>
        </w:rPr>
      </w:pPr>
    </w:p>
    <w:p w14:paraId="47DBDE41" w14:textId="77777777" w:rsidR="00FF51C1" w:rsidRDefault="00FF51C1" w:rsidP="0073662E">
      <w:pPr>
        <w:spacing w:after="0" w:line="240" w:lineRule="auto"/>
        <w:jc w:val="both"/>
        <w:rPr>
          <w:lang w:val="en-GB"/>
        </w:rPr>
      </w:pPr>
    </w:p>
    <w:p w14:paraId="24921212" w14:textId="0C418018" w:rsidR="00AD34CA" w:rsidRPr="00FF51C1" w:rsidRDefault="009F237B" w:rsidP="0073662E">
      <w:pPr>
        <w:spacing w:after="0" w:line="240" w:lineRule="auto"/>
        <w:jc w:val="both"/>
        <w:rPr>
          <w:b/>
          <w:bCs/>
          <w:lang w:val="en-GB"/>
        </w:rPr>
      </w:pPr>
      <w:r w:rsidRPr="00FF51C1">
        <w:rPr>
          <w:b/>
          <w:bCs/>
          <w:lang w:val="en-GB"/>
        </w:rPr>
        <w:t>Ensuring that learning can continue in times of crisis</w:t>
      </w:r>
      <w:r w:rsidR="00A62070" w:rsidRPr="00FF51C1">
        <w:rPr>
          <w:b/>
          <w:bCs/>
          <w:lang w:val="en-GB"/>
        </w:rPr>
        <w:t xml:space="preserve"> is key</w:t>
      </w:r>
      <w:r w:rsidR="00684627" w:rsidRPr="00FF51C1">
        <w:rPr>
          <w:b/>
          <w:bCs/>
          <w:lang w:val="en-GB"/>
        </w:rPr>
        <w:t xml:space="preserve">. </w:t>
      </w:r>
      <w:r w:rsidRPr="00FF51C1">
        <w:rPr>
          <w:b/>
          <w:bCs/>
          <w:lang w:val="en-GB"/>
        </w:rPr>
        <w:t xml:space="preserve">It will </w:t>
      </w:r>
      <w:r w:rsidR="00684627" w:rsidRPr="00FF51C1">
        <w:rPr>
          <w:b/>
          <w:bCs/>
          <w:lang w:val="en-GB"/>
        </w:rPr>
        <w:t xml:space="preserve">also </w:t>
      </w:r>
      <w:r w:rsidRPr="00FF51C1">
        <w:rPr>
          <w:b/>
          <w:bCs/>
          <w:lang w:val="en-GB"/>
        </w:rPr>
        <w:t xml:space="preserve">help with </w:t>
      </w:r>
      <w:r w:rsidR="00684627" w:rsidRPr="00FF51C1">
        <w:rPr>
          <w:b/>
          <w:bCs/>
          <w:lang w:val="en-GB"/>
        </w:rPr>
        <w:t xml:space="preserve">post-crisis </w:t>
      </w:r>
      <w:r w:rsidR="00E97C1D" w:rsidRPr="00FF51C1">
        <w:rPr>
          <w:b/>
          <w:bCs/>
          <w:lang w:val="en-GB"/>
        </w:rPr>
        <w:t>recovery</w:t>
      </w:r>
      <w:r w:rsidRPr="00FF51C1">
        <w:rPr>
          <w:b/>
          <w:bCs/>
          <w:lang w:val="en-GB"/>
        </w:rPr>
        <w:t>:</w:t>
      </w:r>
      <w:r w:rsidR="00E97C1D" w:rsidRPr="00FF51C1">
        <w:rPr>
          <w:b/>
          <w:bCs/>
          <w:lang w:val="en-GB"/>
        </w:rPr>
        <w:t xml:space="preserve"> students and teachers will </w:t>
      </w:r>
      <w:r w:rsidR="00975187" w:rsidRPr="00FF51C1">
        <w:rPr>
          <w:b/>
          <w:bCs/>
          <w:lang w:val="en-GB"/>
        </w:rPr>
        <w:t>need</w:t>
      </w:r>
      <w:r w:rsidR="00E97C1D" w:rsidRPr="00FF51C1">
        <w:rPr>
          <w:b/>
          <w:bCs/>
          <w:lang w:val="en-GB"/>
        </w:rPr>
        <w:t xml:space="preserve"> </w:t>
      </w:r>
      <w:r w:rsidRPr="00FF51C1">
        <w:rPr>
          <w:b/>
          <w:bCs/>
          <w:lang w:val="en-GB"/>
        </w:rPr>
        <w:t>to resume normal activities with minimal disruption or transition</w:t>
      </w:r>
      <w:r w:rsidR="00632107" w:rsidRPr="00FF51C1">
        <w:rPr>
          <w:b/>
          <w:bCs/>
          <w:lang w:val="en-GB"/>
        </w:rPr>
        <w:t>, if</w:t>
      </w:r>
      <w:r w:rsidRPr="00FF51C1">
        <w:rPr>
          <w:b/>
          <w:bCs/>
          <w:lang w:val="en-GB"/>
        </w:rPr>
        <w:t xml:space="preserve"> the impact of the</w:t>
      </w:r>
      <w:r w:rsidR="002314C1" w:rsidRPr="00FF51C1">
        <w:rPr>
          <w:b/>
          <w:bCs/>
          <w:lang w:val="en-GB"/>
        </w:rPr>
        <w:t xml:space="preserve"> COVID-19</w:t>
      </w:r>
      <w:r w:rsidRPr="00FF51C1">
        <w:rPr>
          <w:b/>
          <w:bCs/>
          <w:lang w:val="en-GB"/>
        </w:rPr>
        <w:t xml:space="preserve"> crisis on teaching and learning outcomes is </w:t>
      </w:r>
      <w:r w:rsidR="00632107" w:rsidRPr="00FF51C1">
        <w:rPr>
          <w:b/>
          <w:bCs/>
          <w:lang w:val="en-GB"/>
        </w:rPr>
        <w:t xml:space="preserve">to be </w:t>
      </w:r>
      <w:r w:rsidRPr="00FF51C1">
        <w:rPr>
          <w:b/>
          <w:bCs/>
          <w:lang w:val="en-GB"/>
        </w:rPr>
        <w:t>reduced as much as possible.</w:t>
      </w:r>
    </w:p>
    <w:p w14:paraId="7E3BCA1C" w14:textId="77777777" w:rsidR="00AD34CA" w:rsidRPr="00FF51C1" w:rsidRDefault="00AD34CA" w:rsidP="0073662E">
      <w:pPr>
        <w:spacing w:after="0" w:line="240" w:lineRule="auto"/>
        <w:jc w:val="both"/>
        <w:rPr>
          <w:b/>
          <w:bCs/>
          <w:lang w:val="en-GB"/>
        </w:rPr>
      </w:pPr>
    </w:p>
    <w:p w14:paraId="6C900495" w14:textId="58EA2CAB" w:rsidR="009F237B" w:rsidRDefault="00AD34CA" w:rsidP="0073662E">
      <w:pPr>
        <w:spacing w:after="0" w:line="240" w:lineRule="auto"/>
        <w:jc w:val="both"/>
        <w:rPr>
          <w:b/>
          <w:bCs/>
          <w:lang w:val="en-GB"/>
        </w:rPr>
      </w:pPr>
      <w:r w:rsidRPr="00FF51C1">
        <w:rPr>
          <w:b/>
          <w:bCs/>
          <w:lang w:val="en-GB"/>
        </w:rPr>
        <w:t xml:space="preserve">Each section below provides education authorities </w:t>
      </w:r>
      <w:r w:rsidR="003178D5" w:rsidRPr="00FF51C1">
        <w:rPr>
          <w:b/>
          <w:bCs/>
          <w:lang w:val="en-GB"/>
        </w:rPr>
        <w:t>with guidance for minimi</w:t>
      </w:r>
      <w:r w:rsidR="00BD2C35" w:rsidRPr="00FF51C1">
        <w:rPr>
          <w:b/>
          <w:bCs/>
          <w:lang w:val="en-GB"/>
        </w:rPr>
        <w:t>z</w:t>
      </w:r>
      <w:r w:rsidR="003178D5" w:rsidRPr="00FF51C1">
        <w:rPr>
          <w:b/>
          <w:bCs/>
          <w:lang w:val="en-GB"/>
        </w:rPr>
        <w:t>ing and overcoming operational challenges during a crisis.</w:t>
      </w:r>
    </w:p>
    <w:p w14:paraId="2AC079C8" w14:textId="77777777" w:rsidR="00FF51C1" w:rsidRPr="00FF51C1" w:rsidRDefault="00FF51C1" w:rsidP="0073662E">
      <w:pPr>
        <w:spacing w:after="0" w:line="240" w:lineRule="auto"/>
        <w:jc w:val="both"/>
        <w:rPr>
          <w:b/>
          <w:bCs/>
          <w:lang w:val="en-GB"/>
        </w:rPr>
      </w:pPr>
    </w:p>
    <w:p w14:paraId="4BD4EFE0" w14:textId="285A81F1" w:rsidR="00E97C1D" w:rsidRPr="00975187" w:rsidRDefault="00E97C1D" w:rsidP="0073662E">
      <w:pPr>
        <w:spacing w:after="0" w:line="240" w:lineRule="auto"/>
        <w:jc w:val="both"/>
        <w:rPr>
          <w:color w:val="000000" w:themeColor="text1"/>
          <w:lang w:val="en-GB"/>
        </w:rPr>
      </w:pPr>
    </w:p>
    <w:p w14:paraId="43033ED0" w14:textId="36469C7D" w:rsidR="003F038C" w:rsidRPr="00FF51C1" w:rsidRDefault="009A4B78" w:rsidP="00136DF3">
      <w:pPr>
        <w:pStyle w:val="Titre2"/>
        <w:spacing w:after="120" w:line="240" w:lineRule="auto"/>
        <w:ind w:left="0"/>
        <w:jc w:val="both"/>
        <w:rPr>
          <w:color w:val="11A0AA"/>
          <w:lang w:val="en-GB"/>
        </w:rPr>
      </w:pPr>
      <w:r w:rsidRPr="00FF51C1">
        <w:rPr>
          <w:color w:val="11A0AA"/>
          <w:lang w:val="en-GB"/>
        </w:rPr>
        <w:t>Ensure the continuity of</w:t>
      </w:r>
      <w:r w:rsidR="00115538" w:rsidRPr="00FF51C1">
        <w:rPr>
          <w:color w:val="11A0AA"/>
          <w:lang w:val="en-GB"/>
        </w:rPr>
        <w:t xml:space="preserve"> education</w:t>
      </w:r>
      <w:r w:rsidRPr="00FF51C1">
        <w:rPr>
          <w:color w:val="11A0AA"/>
          <w:lang w:val="en-GB"/>
        </w:rPr>
        <w:t xml:space="preserve"> through </w:t>
      </w:r>
      <w:r w:rsidR="0042314C" w:rsidRPr="00FF51C1">
        <w:rPr>
          <w:color w:val="11A0AA"/>
          <w:lang w:val="en-GB"/>
        </w:rPr>
        <w:t>o</w:t>
      </w:r>
      <w:r w:rsidRPr="00FF51C1">
        <w:rPr>
          <w:color w:val="11A0AA"/>
          <w:lang w:val="en-GB"/>
        </w:rPr>
        <w:t xml:space="preserve">pen and </w:t>
      </w:r>
      <w:r w:rsidR="00115538" w:rsidRPr="00FF51C1">
        <w:rPr>
          <w:color w:val="11A0AA"/>
          <w:lang w:val="en-GB"/>
        </w:rPr>
        <w:t>d</w:t>
      </w:r>
      <w:r w:rsidRPr="00FF51C1">
        <w:rPr>
          <w:color w:val="11A0AA"/>
          <w:lang w:val="en-GB"/>
        </w:rPr>
        <w:t>istance learning</w:t>
      </w:r>
    </w:p>
    <w:p w14:paraId="38BAC685" w14:textId="11299151" w:rsidR="00A25463" w:rsidRDefault="00A25463" w:rsidP="0073662E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When schools close, m</w:t>
      </w:r>
      <w:r w:rsidR="008A467F">
        <w:rPr>
          <w:lang w:val="en-GB"/>
        </w:rPr>
        <w:t xml:space="preserve">inistries of </w:t>
      </w:r>
      <w:r>
        <w:rPr>
          <w:lang w:val="en-GB"/>
        </w:rPr>
        <w:t>education (</w:t>
      </w:r>
      <w:proofErr w:type="spellStart"/>
      <w:r>
        <w:rPr>
          <w:lang w:val="en-GB"/>
        </w:rPr>
        <w:t>MoEs</w:t>
      </w:r>
      <w:proofErr w:type="spellEnd"/>
      <w:r>
        <w:rPr>
          <w:lang w:val="en-GB"/>
        </w:rPr>
        <w:t xml:space="preserve">) </w:t>
      </w:r>
      <w:r w:rsidR="005847D4">
        <w:rPr>
          <w:lang w:val="en-GB"/>
        </w:rPr>
        <w:t xml:space="preserve">may </w:t>
      </w:r>
      <w:hyperlink r:id="rId8" w:history="1">
        <w:r w:rsidR="005847D4" w:rsidRPr="002314C1">
          <w:rPr>
            <w:rStyle w:val="Lienhypertexte"/>
            <w:lang w:val="en-GB"/>
          </w:rPr>
          <w:t>adopt</w:t>
        </w:r>
        <w:r w:rsidR="008A467F" w:rsidRPr="002314C1">
          <w:rPr>
            <w:rStyle w:val="Lienhypertexte"/>
            <w:lang w:val="en-GB"/>
          </w:rPr>
          <w:t xml:space="preserve"> alternative solutions</w:t>
        </w:r>
      </w:hyperlink>
      <w:r w:rsidR="008A467F">
        <w:rPr>
          <w:lang w:val="en-GB"/>
        </w:rPr>
        <w:t xml:space="preserve"> to </w:t>
      </w:r>
      <w:r w:rsidR="00943433">
        <w:rPr>
          <w:lang w:val="en-GB"/>
        </w:rPr>
        <w:t>guarantee</w:t>
      </w:r>
      <w:r w:rsidR="008A467F">
        <w:rPr>
          <w:lang w:val="en-GB"/>
        </w:rPr>
        <w:t xml:space="preserve"> </w:t>
      </w:r>
      <w:r>
        <w:rPr>
          <w:lang w:val="en-GB"/>
        </w:rPr>
        <w:t>that all children are able to continue learning</w:t>
      </w:r>
      <w:r w:rsidR="00A727F2">
        <w:rPr>
          <w:lang w:val="en-GB"/>
        </w:rPr>
        <w:t xml:space="preserve">. It is </w:t>
      </w:r>
      <w:r w:rsidR="00483FC2">
        <w:rPr>
          <w:lang w:val="en-GB"/>
        </w:rPr>
        <w:t xml:space="preserve">important </w:t>
      </w:r>
      <w:r w:rsidR="00A727F2">
        <w:rPr>
          <w:lang w:val="en-GB"/>
        </w:rPr>
        <w:t xml:space="preserve">that </w:t>
      </w:r>
      <w:r w:rsidR="002314C1">
        <w:rPr>
          <w:lang w:val="en-GB"/>
        </w:rPr>
        <w:t xml:space="preserve">the </w:t>
      </w:r>
      <w:r w:rsidR="00A727F2">
        <w:rPr>
          <w:lang w:val="en-GB"/>
        </w:rPr>
        <w:t xml:space="preserve">solutions chosen </w:t>
      </w:r>
      <w:r w:rsidR="002314C1">
        <w:rPr>
          <w:lang w:val="en-GB"/>
        </w:rPr>
        <w:t>are</w:t>
      </w:r>
      <w:r w:rsidR="00A727F2">
        <w:rPr>
          <w:lang w:val="en-GB"/>
        </w:rPr>
        <w:t xml:space="preserve"> </w:t>
      </w:r>
      <w:hyperlink r:id="rId9" w:history="1">
        <w:r w:rsidR="00A727F2" w:rsidRPr="002314C1">
          <w:rPr>
            <w:rStyle w:val="Lienhypertexte"/>
            <w:iCs/>
            <w:lang w:val="en-GB"/>
          </w:rPr>
          <w:t>flexible, accessible, inclusive, and gender-responsive</w:t>
        </w:r>
      </w:hyperlink>
      <w:r w:rsidR="002314C1">
        <w:rPr>
          <w:iCs/>
          <w:lang w:val="en-GB"/>
        </w:rPr>
        <w:t>,</w:t>
      </w:r>
      <w:r w:rsidR="00A727F2">
        <w:rPr>
          <w:lang w:val="en-GB"/>
        </w:rPr>
        <w:t xml:space="preserve"> and take into consideration the specific needs of different groups, especially </w:t>
      </w:r>
      <w:r w:rsidR="00A727F2" w:rsidRPr="00975187">
        <w:rPr>
          <w:lang w:val="en-GB"/>
        </w:rPr>
        <w:t>disadvantaged and marginalized populations</w:t>
      </w:r>
      <w:r w:rsidR="00A727F2">
        <w:rPr>
          <w:lang w:val="en-GB"/>
        </w:rPr>
        <w:t xml:space="preserve"> (e.g. </w:t>
      </w:r>
      <w:r w:rsidR="00A727F2" w:rsidRPr="00F641B8">
        <w:rPr>
          <w:lang w:val="en-GB"/>
        </w:rPr>
        <w:t>girls</w:t>
      </w:r>
      <w:r w:rsidR="00A727F2">
        <w:rPr>
          <w:lang w:val="en-GB"/>
        </w:rPr>
        <w:t>, children with disabilities, and children from low socioeconomic backgrounds)</w:t>
      </w:r>
      <w:r w:rsidR="00483FC2">
        <w:rPr>
          <w:lang w:val="en-GB"/>
        </w:rPr>
        <w:t>.</w:t>
      </w:r>
      <w:r w:rsidR="002314C1">
        <w:rPr>
          <w:lang w:val="en-GB"/>
        </w:rPr>
        <w:t xml:space="preserve"> </w:t>
      </w:r>
    </w:p>
    <w:p w14:paraId="2F9F8CA4" w14:textId="77777777" w:rsidR="002314C1" w:rsidRDefault="002314C1" w:rsidP="0073662E">
      <w:pPr>
        <w:spacing w:after="0" w:line="240" w:lineRule="auto"/>
        <w:jc w:val="both"/>
        <w:rPr>
          <w:lang w:val="en-GB"/>
        </w:rPr>
      </w:pPr>
    </w:p>
    <w:p w14:paraId="4A610841" w14:textId="15BB2449" w:rsidR="00943433" w:rsidRDefault="00965ABE" w:rsidP="004F17D3">
      <w:pPr>
        <w:pStyle w:val="Paragraphedeliste"/>
        <w:numPr>
          <w:ilvl w:val="0"/>
          <w:numId w:val="4"/>
        </w:numPr>
        <w:spacing w:after="120" w:line="240" w:lineRule="auto"/>
        <w:ind w:left="284" w:hanging="284"/>
        <w:jc w:val="both"/>
        <w:rPr>
          <w:lang w:val="en-GB"/>
        </w:rPr>
      </w:pPr>
      <w:r>
        <w:rPr>
          <w:lang w:val="en-GB"/>
        </w:rPr>
        <w:t>R</w:t>
      </w:r>
      <w:r w:rsidR="00A25463" w:rsidRPr="00975187">
        <w:rPr>
          <w:lang w:val="en-GB"/>
        </w:rPr>
        <w:t xml:space="preserve">eview </w:t>
      </w:r>
      <w:r w:rsidR="00A25463">
        <w:rPr>
          <w:lang w:val="en-GB"/>
        </w:rPr>
        <w:t xml:space="preserve">the technical and human resources available within the education sector </w:t>
      </w:r>
      <w:proofErr w:type="gramStart"/>
      <w:r w:rsidR="00A25463">
        <w:rPr>
          <w:lang w:val="en-GB"/>
        </w:rPr>
        <w:t>with regard to</w:t>
      </w:r>
      <w:proofErr w:type="gramEnd"/>
      <w:r w:rsidR="00A25463">
        <w:rPr>
          <w:lang w:val="en-GB"/>
        </w:rPr>
        <w:t xml:space="preserve"> distance learning. This will help inform the choice of solutions</w:t>
      </w:r>
      <w:r w:rsidR="00A25463">
        <w:rPr>
          <w:color w:val="000000" w:themeColor="text1"/>
          <w:lang w:val="en-GB"/>
        </w:rPr>
        <w:t>.</w:t>
      </w:r>
    </w:p>
    <w:p w14:paraId="74941E07" w14:textId="429C1147" w:rsidR="00943433" w:rsidRDefault="00A25463" w:rsidP="00DC085F">
      <w:pPr>
        <w:pStyle w:val="Paragraphedeliste"/>
        <w:numPr>
          <w:ilvl w:val="1"/>
          <w:numId w:val="4"/>
        </w:numPr>
        <w:spacing w:after="120" w:line="240" w:lineRule="auto"/>
        <w:ind w:left="851" w:hanging="284"/>
        <w:jc w:val="both"/>
        <w:rPr>
          <w:lang w:val="en-GB"/>
        </w:rPr>
      </w:pPr>
      <w:r>
        <w:rPr>
          <w:lang w:val="en-GB"/>
        </w:rPr>
        <w:t xml:space="preserve">High-technology solutions might </w:t>
      </w:r>
      <w:r w:rsidR="00AA364E" w:rsidRPr="00975187">
        <w:rPr>
          <w:lang w:val="en-GB"/>
        </w:rPr>
        <w:t xml:space="preserve">include online or e-learning strategies, such as digital learning platforms, </w:t>
      </w:r>
      <w:r>
        <w:rPr>
          <w:lang w:val="en-GB"/>
        </w:rPr>
        <w:t>massive open online courses (</w:t>
      </w:r>
      <w:r w:rsidR="00AA364E" w:rsidRPr="00975187">
        <w:rPr>
          <w:lang w:val="en-GB"/>
        </w:rPr>
        <w:t>MOOCs</w:t>
      </w:r>
      <w:r>
        <w:rPr>
          <w:lang w:val="en-GB"/>
        </w:rPr>
        <w:t>)</w:t>
      </w:r>
      <w:r w:rsidR="00AA364E" w:rsidRPr="00975187">
        <w:rPr>
          <w:lang w:val="en-GB"/>
        </w:rPr>
        <w:t xml:space="preserve">, </w:t>
      </w:r>
      <w:r w:rsidR="00ED47FF" w:rsidRPr="00975187">
        <w:rPr>
          <w:lang w:val="en-GB"/>
        </w:rPr>
        <w:t>live-</w:t>
      </w:r>
      <w:r w:rsidRPr="00975187">
        <w:rPr>
          <w:lang w:val="en-GB"/>
        </w:rPr>
        <w:t>stream</w:t>
      </w:r>
      <w:r>
        <w:rPr>
          <w:lang w:val="en-GB"/>
        </w:rPr>
        <w:t>ed</w:t>
      </w:r>
      <w:r w:rsidRPr="00975187">
        <w:rPr>
          <w:lang w:val="en-GB"/>
        </w:rPr>
        <w:t xml:space="preserve"> </w:t>
      </w:r>
      <w:r w:rsidR="00AA364E" w:rsidRPr="00975187">
        <w:rPr>
          <w:lang w:val="en-GB"/>
        </w:rPr>
        <w:t>lessons,</w:t>
      </w:r>
      <w:r w:rsidR="002314C1">
        <w:rPr>
          <w:lang w:val="en-GB"/>
        </w:rPr>
        <w:t xml:space="preserve"> and</w:t>
      </w:r>
      <w:r w:rsidR="00AA364E" w:rsidRPr="00975187">
        <w:rPr>
          <w:lang w:val="en-GB"/>
        </w:rPr>
        <w:t xml:space="preserve"> </w:t>
      </w:r>
      <w:hyperlink r:id="rId10" w:history="1">
        <w:r w:rsidRPr="002314C1">
          <w:rPr>
            <w:rStyle w:val="Lienhypertexte"/>
            <w:lang w:val="en-GB"/>
          </w:rPr>
          <w:t>open educational resources</w:t>
        </w:r>
      </w:hyperlink>
      <w:r w:rsidRPr="00975187">
        <w:rPr>
          <w:lang w:val="en-GB"/>
        </w:rPr>
        <w:t xml:space="preserve"> </w:t>
      </w:r>
      <w:r w:rsidR="00AA364E" w:rsidRPr="00975187">
        <w:rPr>
          <w:lang w:val="en-GB"/>
        </w:rPr>
        <w:t>(OER</w:t>
      </w:r>
      <w:r>
        <w:rPr>
          <w:lang w:val="en-GB"/>
        </w:rPr>
        <w:t>s</w:t>
      </w:r>
      <w:r w:rsidR="002314C1">
        <w:rPr>
          <w:lang w:val="en-GB"/>
        </w:rPr>
        <w:t>)</w:t>
      </w:r>
      <w:r w:rsidR="002657EF">
        <w:rPr>
          <w:lang w:val="en-GB"/>
        </w:rPr>
        <w:t>, including open textbooks.</w:t>
      </w:r>
    </w:p>
    <w:p w14:paraId="27F00ED4" w14:textId="6AE40AA8" w:rsidR="00943433" w:rsidRDefault="00A25463" w:rsidP="00DC085F">
      <w:pPr>
        <w:pStyle w:val="Paragraphedeliste"/>
        <w:numPr>
          <w:ilvl w:val="1"/>
          <w:numId w:val="4"/>
        </w:numPr>
        <w:spacing w:after="120" w:line="240" w:lineRule="auto"/>
        <w:ind w:left="851" w:hanging="284"/>
        <w:jc w:val="both"/>
        <w:rPr>
          <w:lang w:val="en-GB"/>
        </w:rPr>
      </w:pPr>
      <w:r>
        <w:rPr>
          <w:lang w:val="en-GB"/>
        </w:rPr>
        <w:t>L</w:t>
      </w:r>
      <w:r w:rsidR="00AA364E" w:rsidRPr="00975187">
        <w:rPr>
          <w:lang w:val="en-GB"/>
        </w:rPr>
        <w:t>ow-technology solutions</w:t>
      </w:r>
      <w:r>
        <w:rPr>
          <w:lang w:val="en-GB"/>
        </w:rPr>
        <w:t xml:space="preserve"> might</w:t>
      </w:r>
      <w:r w:rsidR="00AA364E" w:rsidRPr="00975187">
        <w:rPr>
          <w:lang w:val="en-GB"/>
        </w:rPr>
        <w:t xml:space="preserve"> include community- and national-level radio and television programmes</w:t>
      </w:r>
      <w:r w:rsidR="00DC085F">
        <w:rPr>
          <w:lang w:val="en-GB"/>
        </w:rPr>
        <w:t>.</w:t>
      </w:r>
    </w:p>
    <w:p w14:paraId="6E8D949D" w14:textId="0A27C0DA" w:rsidR="00B0066D" w:rsidRDefault="00A25463" w:rsidP="00DC085F">
      <w:pPr>
        <w:pStyle w:val="Paragraphedeliste"/>
        <w:numPr>
          <w:ilvl w:val="1"/>
          <w:numId w:val="4"/>
        </w:numPr>
        <w:spacing w:after="120" w:line="240" w:lineRule="auto"/>
        <w:ind w:left="851" w:hanging="284"/>
        <w:jc w:val="both"/>
        <w:rPr>
          <w:lang w:val="en-GB"/>
        </w:rPr>
      </w:pPr>
      <w:r>
        <w:rPr>
          <w:lang w:val="en-GB"/>
        </w:rPr>
        <w:t>Technology-free</w:t>
      </w:r>
      <w:r w:rsidR="00943433">
        <w:rPr>
          <w:lang w:val="en-GB"/>
        </w:rPr>
        <w:t xml:space="preserve"> solutions </w:t>
      </w:r>
      <w:r>
        <w:rPr>
          <w:lang w:val="en-GB"/>
        </w:rPr>
        <w:t xml:space="preserve">might </w:t>
      </w:r>
      <w:r w:rsidR="00943433">
        <w:rPr>
          <w:lang w:val="en-GB"/>
        </w:rPr>
        <w:t>include the</w:t>
      </w:r>
      <w:r w:rsidR="00AA364E" w:rsidRPr="00975187">
        <w:rPr>
          <w:lang w:val="en-GB"/>
        </w:rPr>
        <w:t xml:space="preserve"> </w:t>
      </w:r>
      <w:r w:rsidR="0028493B" w:rsidRPr="00975187">
        <w:rPr>
          <w:lang w:val="en-GB"/>
        </w:rPr>
        <w:t>provision of</w:t>
      </w:r>
      <w:r w:rsidR="00AA364E" w:rsidRPr="00975187">
        <w:rPr>
          <w:lang w:val="en-GB"/>
        </w:rPr>
        <w:t xml:space="preserve"> worksheets </w:t>
      </w:r>
      <w:r w:rsidR="007F2942">
        <w:rPr>
          <w:lang w:val="en-GB"/>
        </w:rPr>
        <w:t>and other printed materials</w:t>
      </w:r>
      <w:r w:rsidR="00AA364E" w:rsidRPr="00975187">
        <w:rPr>
          <w:lang w:val="en-GB"/>
        </w:rPr>
        <w:t xml:space="preserve"> to learners at home</w:t>
      </w:r>
      <w:r w:rsidR="007F2942">
        <w:rPr>
          <w:lang w:val="en-GB"/>
        </w:rPr>
        <w:t xml:space="preserve">. Logistics permitting, it is crucial that communities without access to information </w:t>
      </w:r>
      <w:r w:rsidR="002314C1">
        <w:rPr>
          <w:lang w:val="en-GB"/>
        </w:rPr>
        <w:t>and communication technologies (</w:t>
      </w:r>
      <w:r w:rsidR="007F2942">
        <w:rPr>
          <w:lang w:val="en-GB"/>
        </w:rPr>
        <w:t>ICTs</w:t>
      </w:r>
      <w:r w:rsidR="002314C1">
        <w:rPr>
          <w:lang w:val="en-GB"/>
        </w:rPr>
        <w:t>)</w:t>
      </w:r>
      <w:r w:rsidR="007F2942">
        <w:rPr>
          <w:lang w:val="en-GB"/>
        </w:rPr>
        <w:t xml:space="preserve"> have other means of learning.</w:t>
      </w:r>
      <w:r w:rsidR="00AA364E" w:rsidRPr="00975187">
        <w:rPr>
          <w:lang w:val="en-GB"/>
        </w:rPr>
        <w:t xml:space="preserve"> </w:t>
      </w:r>
    </w:p>
    <w:p w14:paraId="238FEC60" w14:textId="382501B4" w:rsidR="00F154DD" w:rsidRPr="004A04B6" w:rsidRDefault="00965ABE" w:rsidP="004A04B6">
      <w:pPr>
        <w:pStyle w:val="Paragraphedeliste"/>
        <w:numPr>
          <w:ilvl w:val="0"/>
          <w:numId w:val="4"/>
        </w:numPr>
        <w:spacing w:after="120" w:line="240" w:lineRule="auto"/>
        <w:ind w:left="284" w:hanging="284"/>
        <w:jc w:val="both"/>
        <w:rPr>
          <w:lang w:val="en-GB"/>
        </w:rPr>
      </w:pPr>
      <w:r>
        <w:rPr>
          <w:lang w:val="en-GB"/>
        </w:rPr>
        <w:t>E</w:t>
      </w:r>
      <w:r w:rsidRPr="004F17D3">
        <w:rPr>
          <w:lang w:val="en-GB"/>
        </w:rPr>
        <w:t>xplore</w:t>
      </w:r>
      <w:r w:rsidRPr="00975187">
        <w:rPr>
          <w:lang w:val="en-GB"/>
        </w:rPr>
        <w:t xml:space="preserve"> </w:t>
      </w:r>
      <w:r w:rsidR="00F80369">
        <w:rPr>
          <w:lang w:val="en-GB"/>
        </w:rPr>
        <w:t xml:space="preserve">comparable </w:t>
      </w:r>
      <w:r w:rsidR="00F154DD" w:rsidRPr="00975187">
        <w:rPr>
          <w:lang w:val="en-GB"/>
        </w:rPr>
        <w:t xml:space="preserve">distance </w:t>
      </w:r>
      <w:r w:rsidR="00F80369">
        <w:rPr>
          <w:lang w:val="en-GB"/>
        </w:rPr>
        <w:t>learning</w:t>
      </w:r>
      <w:r w:rsidR="00F80369" w:rsidRPr="00975187">
        <w:rPr>
          <w:lang w:val="en-GB"/>
        </w:rPr>
        <w:t xml:space="preserve"> programmes</w:t>
      </w:r>
      <w:r w:rsidR="00F80369">
        <w:rPr>
          <w:lang w:val="en-GB"/>
        </w:rPr>
        <w:t xml:space="preserve"> already in place, either </w:t>
      </w:r>
      <w:r w:rsidR="00F154DD" w:rsidRPr="00975187">
        <w:rPr>
          <w:lang w:val="en-GB"/>
        </w:rPr>
        <w:t>in</w:t>
      </w:r>
      <w:r w:rsidR="002314C1">
        <w:rPr>
          <w:lang w:val="en-GB"/>
        </w:rPr>
        <w:t>-</w:t>
      </w:r>
      <w:r w:rsidR="00F154DD" w:rsidRPr="00975187">
        <w:rPr>
          <w:lang w:val="en-GB"/>
        </w:rPr>
        <w:t xml:space="preserve">country or </w:t>
      </w:r>
      <w:r w:rsidR="00F80369">
        <w:rPr>
          <w:lang w:val="en-GB"/>
        </w:rPr>
        <w:t>elsewhere, and see which of the existing materials can be adapted to meet the needs of the current situation</w:t>
      </w:r>
      <w:r w:rsidR="00975B1E">
        <w:rPr>
          <w:lang w:val="en-GB"/>
        </w:rPr>
        <w:t>. F</w:t>
      </w:r>
      <w:r w:rsidR="00F154DD" w:rsidRPr="00975187">
        <w:rPr>
          <w:lang w:val="en-GB"/>
        </w:rPr>
        <w:t>or examples of national distance education platforms</w:t>
      </w:r>
      <w:r w:rsidR="00F80369">
        <w:rPr>
          <w:lang w:val="en-GB"/>
        </w:rPr>
        <w:t>,</w:t>
      </w:r>
      <w:r w:rsidR="00F154DD" w:rsidRPr="00975187">
        <w:rPr>
          <w:lang w:val="en-GB"/>
        </w:rPr>
        <w:t xml:space="preserve"> consult</w:t>
      </w:r>
      <w:r w:rsidR="00F154DD">
        <w:rPr>
          <w:lang w:val="en-GB"/>
        </w:rPr>
        <w:t xml:space="preserve"> the dedicated </w:t>
      </w:r>
      <w:hyperlink r:id="rId11" w:history="1">
        <w:r w:rsidR="00F154DD" w:rsidRPr="002314C1">
          <w:rPr>
            <w:rStyle w:val="Lienhypertexte"/>
            <w:lang w:val="en-GB"/>
          </w:rPr>
          <w:t>UNESCO webpage</w:t>
        </w:r>
      </w:hyperlink>
      <w:r w:rsidR="00F154DD">
        <w:rPr>
          <w:lang w:val="en-GB"/>
        </w:rPr>
        <w:t xml:space="preserve"> on national responses to COVID-19</w:t>
      </w:r>
      <w:r w:rsidR="00F154DD" w:rsidRPr="00975187">
        <w:rPr>
          <w:lang w:val="en-GB"/>
        </w:rPr>
        <w:t>.</w:t>
      </w:r>
    </w:p>
    <w:p w14:paraId="23057FAC" w14:textId="51D830F0" w:rsidR="00290CC9" w:rsidRDefault="00483FC2" w:rsidP="004F17D3">
      <w:pPr>
        <w:pStyle w:val="Paragraphedeliste"/>
        <w:numPr>
          <w:ilvl w:val="0"/>
          <w:numId w:val="4"/>
        </w:numPr>
        <w:spacing w:after="120" w:line="240" w:lineRule="auto"/>
        <w:ind w:left="284" w:hanging="284"/>
        <w:jc w:val="both"/>
        <w:rPr>
          <w:lang w:val="en-GB"/>
        </w:rPr>
      </w:pPr>
      <w:r>
        <w:rPr>
          <w:lang w:val="en-GB"/>
        </w:rPr>
        <w:t>A</w:t>
      </w:r>
      <w:r w:rsidR="0095657E">
        <w:rPr>
          <w:lang w:val="en-GB"/>
        </w:rPr>
        <w:t xml:space="preserve">ddress any potential obstacles to learning among the </w:t>
      </w:r>
      <w:hyperlink r:id="rId12" w:history="1">
        <w:r w:rsidR="0095657E" w:rsidRPr="002314C1">
          <w:rPr>
            <w:rStyle w:val="Lienhypertexte"/>
            <w:lang w:val="en-GB"/>
          </w:rPr>
          <w:t>most vulnerable groups</w:t>
        </w:r>
      </w:hyperlink>
      <w:r w:rsidR="00290CC9">
        <w:rPr>
          <w:lang w:val="en-GB"/>
        </w:rPr>
        <w:t>.</w:t>
      </w:r>
    </w:p>
    <w:p w14:paraId="0234817E" w14:textId="118255DA" w:rsidR="00B0066D" w:rsidRDefault="00965ABE" w:rsidP="004F17D3">
      <w:pPr>
        <w:pStyle w:val="Paragraphedeliste"/>
        <w:numPr>
          <w:ilvl w:val="0"/>
          <w:numId w:val="4"/>
        </w:numPr>
        <w:spacing w:after="120" w:line="240" w:lineRule="auto"/>
        <w:ind w:left="284" w:hanging="284"/>
        <w:jc w:val="both"/>
        <w:rPr>
          <w:lang w:val="en-GB"/>
        </w:rPr>
      </w:pPr>
      <w:r>
        <w:rPr>
          <w:lang w:val="en-GB"/>
        </w:rPr>
        <w:t>A</w:t>
      </w:r>
      <w:r w:rsidRPr="00975187">
        <w:rPr>
          <w:lang w:val="en-GB"/>
        </w:rPr>
        <w:t xml:space="preserve">ssess </w:t>
      </w:r>
      <w:r w:rsidR="0095657E">
        <w:rPr>
          <w:lang w:val="en-GB"/>
        </w:rPr>
        <w:t xml:space="preserve">the </w:t>
      </w:r>
      <w:r w:rsidR="00B0066D" w:rsidRPr="00975187">
        <w:rPr>
          <w:lang w:val="en-GB"/>
        </w:rPr>
        <w:t xml:space="preserve">financial </w:t>
      </w:r>
      <w:r w:rsidR="0095657E">
        <w:rPr>
          <w:lang w:val="en-GB"/>
        </w:rPr>
        <w:t>requirements</w:t>
      </w:r>
      <w:r w:rsidR="0095657E" w:rsidRPr="00975187">
        <w:rPr>
          <w:lang w:val="en-GB"/>
        </w:rPr>
        <w:t xml:space="preserve"> </w:t>
      </w:r>
      <w:r w:rsidR="00F14886">
        <w:rPr>
          <w:lang w:val="en-GB"/>
        </w:rPr>
        <w:t>of distance education using new technologies</w:t>
      </w:r>
      <w:r w:rsidR="0095657E">
        <w:rPr>
          <w:lang w:val="en-GB"/>
        </w:rPr>
        <w:t xml:space="preserve"> </w:t>
      </w:r>
      <w:r w:rsidR="00B0066D" w:rsidRPr="00975187">
        <w:rPr>
          <w:lang w:val="en-GB"/>
        </w:rPr>
        <w:t>and determine potential partners and donors</w:t>
      </w:r>
      <w:r w:rsidR="002837E1">
        <w:rPr>
          <w:lang w:val="en-GB"/>
        </w:rPr>
        <w:t xml:space="preserve"> (</w:t>
      </w:r>
      <w:r w:rsidR="0095657E">
        <w:rPr>
          <w:lang w:val="en-GB"/>
        </w:rPr>
        <w:t>such as</w:t>
      </w:r>
      <w:r w:rsidR="002837E1">
        <w:rPr>
          <w:lang w:val="en-GB"/>
        </w:rPr>
        <w:t xml:space="preserve"> </w:t>
      </w:r>
      <w:r w:rsidR="0095657E">
        <w:rPr>
          <w:lang w:val="en-GB"/>
        </w:rPr>
        <w:t xml:space="preserve">ICT actors) </w:t>
      </w:r>
      <w:r w:rsidR="002837E1">
        <w:rPr>
          <w:lang w:val="en-GB"/>
        </w:rPr>
        <w:t xml:space="preserve">to </w:t>
      </w:r>
      <w:r w:rsidR="00F14886">
        <w:rPr>
          <w:lang w:val="en-GB"/>
        </w:rPr>
        <w:t xml:space="preserve">secure </w:t>
      </w:r>
      <w:r w:rsidR="002837E1">
        <w:rPr>
          <w:lang w:val="en-GB"/>
        </w:rPr>
        <w:t xml:space="preserve">access </w:t>
      </w:r>
      <w:r w:rsidR="00F14886">
        <w:rPr>
          <w:lang w:val="en-GB"/>
        </w:rPr>
        <w:t>for all students</w:t>
      </w:r>
      <w:r w:rsidR="002837E1">
        <w:rPr>
          <w:lang w:val="en-GB"/>
        </w:rPr>
        <w:t xml:space="preserve">. </w:t>
      </w:r>
    </w:p>
    <w:p w14:paraId="50243721" w14:textId="77777777" w:rsidR="00A02C1B" w:rsidRDefault="00A02C1B" w:rsidP="00A02C1B">
      <w:pPr>
        <w:pStyle w:val="Paragraphedeliste"/>
        <w:spacing w:after="120" w:line="240" w:lineRule="auto"/>
        <w:ind w:left="284"/>
        <w:jc w:val="both"/>
        <w:rPr>
          <w:lang w:val="en-GB"/>
        </w:rPr>
      </w:pPr>
    </w:p>
    <w:p w14:paraId="71E56F5E" w14:textId="30455D64" w:rsidR="002843DF" w:rsidRPr="00FF51C1" w:rsidRDefault="002843DF" w:rsidP="004F17D3">
      <w:pPr>
        <w:pStyle w:val="Titre2"/>
        <w:ind w:left="0"/>
        <w:jc w:val="both"/>
        <w:rPr>
          <w:b w:val="0"/>
          <w:color w:val="11A0AA"/>
        </w:rPr>
      </w:pPr>
      <w:r w:rsidRPr="00FF51C1">
        <w:rPr>
          <w:color w:val="11A0AA"/>
        </w:rPr>
        <w:t>Identify alternative</w:t>
      </w:r>
      <w:r w:rsidR="00232A25" w:rsidRPr="00FF51C1">
        <w:rPr>
          <w:color w:val="11A0AA"/>
        </w:rPr>
        <w:t xml:space="preserve">s to holding </w:t>
      </w:r>
      <w:r w:rsidRPr="00FF51C1">
        <w:rPr>
          <w:color w:val="11A0AA"/>
        </w:rPr>
        <w:t>national exams</w:t>
      </w:r>
    </w:p>
    <w:p w14:paraId="09EE508E" w14:textId="22D2CB0D" w:rsidR="002843DF" w:rsidRDefault="00542D61" w:rsidP="00F601FE">
      <w:pPr>
        <w:spacing w:after="0"/>
        <w:rPr>
          <w:lang w:val="en-US"/>
        </w:rPr>
      </w:pPr>
      <w:r>
        <w:rPr>
          <w:lang w:val="en-GB"/>
        </w:rPr>
        <w:t>When</w:t>
      </w:r>
      <w:r w:rsidR="002843DF" w:rsidRPr="006E1F80">
        <w:rPr>
          <w:lang w:val="en-GB"/>
        </w:rPr>
        <w:t xml:space="preserve"> countries </w:t>
      </w:r>
      <w:r>
        <w:rPr>
          <w:lang w:val="en-GB"/>
        </w:rPr>
        <w:t>are forced</w:t>
      </w:r>
      <w:r w:rsidR="002843DF" w:rsidRPr="006E1F80">
        <w:rPr>
          <w:lang w:val="en-GB"/>
        </w:rPr>
        <w:t xml:space="preserve"> to cancel their end-of-cycle exams</w:t>
      </w:r>
      <w:r>
        <w:rPr>
          <w:lang w:val="en-GB"/>
        </w:rPr>
        <w:t xml:space="preserve"> owing to crises, education authorities may consider </w:t>
      </w:r>
      <w:hyperlink r:id="rId13" w:history="1">
        <w:r w:rsidR="002843DF" w:rsidRPr="00517388">
          <w:rPr>
            <w:rStyle w:val="Lienhypertexte"/>
            <w:lang w:val="en-GB"/>
          </w:rPr>
          <w:t>alternative ways of evaluating students</w:t>
        </w:r>
      </w:hyperlink>
      <w:r>
        <w:rPr>
          <w:lang w:val="en-GB"/>
        </w:rPr>
        <w:t xml:space="preserve">. </w:t>
      </w:r>
      <w:r w:rsidR="00300D81">
        <w:rPr>
          <w:lang w:val="en-US"/>
        </w:rPr>
        <w:t xml:space="preserve">A </w:t>
      </w:r>
      <w:proofErr w:type="gramStart"/>
      <w:r w:rsidR="00300D81">
        <w:rPr>
          <w:lang w:val="en-US"/>
        </w:rPr>
        <w:t>p</w:t>
      </w:r>
      <w:r>
        <w:rPr>
          <w:lang w:val="en-US"/>
        </w:rPr>
        <w:t xml:space="preserve">articular </w:t>
      </w:r>
      <w:r w:rsidRPr="002837E1">
        <w:rPr>
          <w:lang w:val="en-US"/>
        </w:rPr>
        <w:t>challenge</w:t>
      </w:r>
      <w:proofErr w:type="gramEnd"/>
      <w:r w:rsidR="00300D81">
        <w:rPr>
          <w:lang w:val="en-US"/>
        </w:rPr>
        <w:t xml:space="preserve"> is to ensure </w:t>
      </w:r>
      <w:r w:rsidRPr="002837E1">
        <w:rPr>
          <w:lang w:val="en-US"/>
        </w:rPr>
        <w:t xml:space="preserve">that </w:t>
      </w:r>
      <w:r>
        <w:rPr>
          <w:lang w:val="en-US"/>
        </w:rPr>
        <w:t>any such alternative</w:t>
      </w:r>
      <w:r w:rsidRPr="002837E1">
        <w:rPr>
          <w:lang w:val="en-US"/>
        </w:rPr>
        <w:t xml:space="preserve"> </w:t>
      </w:r>
      <w:r w:rsidR="00300D81">
        <w:rPr>
          <w:lang w:val="en-US"/>
        </w:rPr>
        <w:t xml:space="preserve">(a) </w:t>
      </w:r>
      <w:r>
        <w:rPr>
          <w:lang w:val="en-US"/>
        </w:rPr>
        <w:t>gives a</w:t>
      </w:r>
      <w:r w:rsidRPr="002837E1">
        <w:rPr>
          <w:lang w:val="en-US"/>
        </w:rPr>
        <w:t xml:space="preserve"> fair representation of performance </w:t>
      </w:r>
      <w:r>
        <w:rPr>
          <w:lang w:val="en-US"/>
        </w:rPr>
        <w:t>and (b) does</w:t>
      </w:r>
      <w:r w:rsidRPr="002837E1">
        <w:rPr>
          <w:lang w:val="en-US"/>
        </w:rPr>
        <w:t xml:space="preserve"> not penalize any group of students. It </w:t>
      </w:r>
      <w:r w:rsidR="00300D81">
        <w:rPr>
          <w:lang w:val="en-US"/>
        </w:rPr>
        <w:t>is</w:t>
      </w:r>
      <w:r w:rsidRPr="002837E1">
        <w:rPr>
          <w:lang w:val="en-US"/>
        </w:rPr>
        <w:t xml:space="preserve"> </w:t>
      </w:r>
      <w:r w:rsidR="00300D81">
        <w:rPr>
          <w:lang w:val="en-US"/>
        </w:rPr>
        <w:t xml:space="preserve">also </w:t>
      </w:r>
      <w:r w:rsidRPr="002837E1">
        <w:rPr>
          <w:lang w:val="en-US"/>
        </w:rPr>
        <w:t xml:space="preserve">important to make sure the system is harmonized at </w:t>
      </w:r>
      <w:r w:rsidR="00300D81">
        <w:rPr>
          <w:lang w:val="en-US"/>
        </w:rPr>
        <w:t>the national</w:t>
      </w:r>
      <w:r w:rsidRPr="002837E1">
        <w:rPr>
          <w:lang w:val="en-US"/>
        </w:rPr>
        <w:t xml:space="preserve"> level and </w:t>
      </w:r>
      <w:r w:rsidR="00300D81">
        <w:rPr>
          <w:lang w:val="en-US"/>
        </w:rPr>
        <w:t xml:space="preserve">that </w:t>
      </w:r>
      <w:r w:rsidR="00965ABE">
        <w:rPr>
          <w:lang w:val="en-US"/>
        </w:rPr>
        <w:lastRenderedPageBreak/>
        <w:t xml:space="preserve">students have </w:t>
      </w:r>
      <w:r w:rsidRPr="002837E1">
        <w:rPr>
          <w:lang w:val="en-US"/>
        </w:rPr>
        <w:t>the right to contest the</w:t>
      </w:r>
      <w:r w:rsidR="00965ABE">
        <w:rPr>
          <w:lang w:val="en-US"/>
        </w:rPr>
        <w:t>ir</w:t>
      </w:r>
      <w:r w:rsidRPr="002837E1">
        <w:rPr>
          <w:lang w:val="en-US"/>
        </w:rPr>
        <w:t xml:space="preserve"> </w:t>
      </w:r>
      <w:r w:rsidR="00BB53F3">
        <w:rPr>
          <w:lang w:val="en-US"/>
        </w:rPr>
        <w:t>eventual grade</w:t>
      </w:r>
      <w:r w:rsidRPr="002837E1">
        <w:rPr>
          <w:lang w:val="en-US"/>
        </w:rPr>
        <w:t>.</w:t>
      </w:r>
      <w:r w:rsidR="00B23A6D">
        <w:rPr>
          <w:lang w:val="en-US"/>
        </w:rPr>
        <w:t xml:space="preserve"> </w:t>
      </w:r>
      <w:r w:rsidR="003A73D8">
        <w:rPr>
          <w:lang w:val="en-US"/>
        </w:rPr>
        <w:t>There are several o</w:t>
      </w:r>
      <w:r w:rsidR="00517388">
        <w:rPr>
          <w:lang w:val="en-US"/>
        </w:rPr>
        <w:t>p</w:t>
      </w:r>
      <w:r w:rsidR="003A73D8">
        <w:rPr>
          <w:lang w:val="en-US"/>
        </w:rPr>
        <w:t>tions for education authorities</w:t>
      </w:r>
      <w:r w:rsidR="00517388">
        <w:rPr>
          <w:lang w:val="en-US"/>
        </w:rPr>
        <w:t>.</w:t>
      </w:r>
    </w:p>
    <w:p w14:paraId="15A566C3" w14:textId="0489D3E2" w:rsidR="00542D61" w:rsidRDefault="00542D61" w:rsidP="00F601FE">
      <w:pPr>
        <w:spacing w:after="0"/>
        <w:rPr>
          <w:lang w:val="en-US"/>
        </w:rPr>
      </w:pPr>
    </w:p>
    <w:p w14:paraId="1694FE2D" w14:textId="4012D339" w:rsidR="002843DF" w:rsidRPr="004F17D3" w:rsidRDefault="00517388" w:rsidP="00F601FE">
      <w:pPr>
        <w:pStyle w:val="Paragraphedeliste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en-GB"/>
        </w:rPr>
      </w:pPr>
      <w:r>
        <w:rPr>
          <w:lang w:val="en-GB"/>
        </w:rPr>
        <w:t>Us</w:t>
      </w:r>
      <w:r w:rsidR="00B0643C">
        <w:rPr>
          <w:lang w:val="en-GB"/>
        </w:rPr>
        <w:t>e</w:t>
      </w:r>
      <w:r w:rsidR="00965ABE" w:rsidRPr="004F17D3">
        <w:rPr>
          <w:lang w:val="en-GB"/>
        </w:rPr>
        <w:t xml:space="preserve"> </w:t>
      </w:r>
      <w:r w:rsidR="002843DF" w:rsidRPr="004F17D3">
        <w:rPr>
          <w:lang w:val="en-GB"/>
        </w:rPr>
        <w:t>previous grades from mock exams, teachers’ assessments</w:t>
      </w:r>
      <w:r w:rsidR="00542D61">
        <w:rPr>
          <w:lang w:val="en-GB"/>
        </w:rPr>
        <w:t>,</w:t>
      </w:r>
      <w:r w:rsidR="002843DF" w:rsidRPr="004F17D3">
        <w:rPr>
          <w:lang w:val="en-GB"/>
        </w:rPr>
        <w:t xml:space="preserve"> and prior grade expectations</w:t>
      </w:r>
      <w:r w:rsidR="00965ABE">
        <w:rPr>
          <w:lang w:val="en-GB"/>
        </w:rPr>
        <w:t>.</w:t>
      </w:r>
    </w:p>
    <w:p w14:paraId="6CE7CCBA" w14:textId="2D3E07BA" w:rsidR="002843DF" w:rsidRDefault="00965ABE" w:rsidP="00F601FE">
      <w:pPr>
        <w:pStyle w:val="Paragraphedeliste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en-GB"/>
        </w:rPr>
      </w:pPr>
      <w:r>
        <w:rPr>
          <w:lang w:val="en-GB"/>
        </w:rPr>
        <w:t>Rely</w:t>
      </w:r>
      <w:r w:rsidRPr="004F17D3">
        <w:rPr>
          <w:lang w:val="en-GB"/>
        </w:rPr>
        <w:t xml:space="preserve"> </w:t>
      </w:r>
      <w:r w:rsidR="002843DF" w:rsidRPr="004F17D3">
        <w:rPr>
          <w:lang w:val="en-GB"/>
        </w:rPr>
        <w:t>on continuous assessment</w:t>
      </w:r>
      <w:r w:rsidR="004567F7">
        <w:rPr>
          <w:lang w:val="en-GB"/>
        </w:rPr>
        <w:t>s</w:t>
      </w:r>
      <w:r w:rsidR="002843DF" w:rsidRPr="004F17D3">
        <w:rPr>
          <w:lang w:val="en-GB"/>
        </w:rPr>
        <w:t xml:space="preserve"> </w:t>
      </w:r>
      <w:r w:rsidR="00A11CE5">
        <w:rPr>
          <w:lang w:val="en-GB"/>
        </w:rPr>
        <w:t>and coursework that took</w:t>
      </w:r>
      <w:r w:rsidR="002843DF" w:rsidRPr="004F17D3">
        <w:rPr>
          <w:lang w:val="en-GB"/>
        </w:rPr>
        <w:t xml:space="preserve"> place </w:t>
      </w:r>
      <w:r w:rsidR="00A11CE5">
        <w:rPr>
          <w:lang w:val="en-GB"/>
        </w:rPr>
        <w:t>in the months leading up to the crisis</w:t>
      </w:r>
      <w:r>
        <w:rPr>
          <w:lang w:val="en-GB"/>
        </w:rPr>
        <w:t>.</w:t>
      </w:r>
    </w:p>
    <w:p w14:paraId="0A883E67" w14:textId="3FBB3221" w:rsidR="00965ABE" w:rsidRPr="004F17D3" w:rsidRDefault="00965ABE" w:rsidP="00F601FE">
      <w:pPr>
        <w:pStyle w:val="Paragraphedeliste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en-GB"/>
        </w:rPr>
      </w:pPr>
      <w:r>
        <w:rPr>
          <w:lang w:val="en-GB"/>
        </w:rPr>
        <w:t>Us</w:t>
      </w:r>
      <w:r w:rsidR="00B0643C">
        <w:rPr>
          <w:lang w:val="en-GB"/>
        </w:rPr>
        <w:t>e</w:t>
      </w:r>
      <w:r>
        <w:rPr>
          <w:lang w:val="en-GB"/>
        </w:rPr>
        <w:t xml:space="preserve"> multiple sources of information to calculate the final grade.</w:t>
      </w:r>
    </w:p>
    <w:p w14:paraId="13A5E73F" w14:textId="0B7EE160" w:rsidR="002843DF" w:rsidRPr="004F17D3" w:rsidRDefault="00965ABE" w:rsidP="00F601FE">
      <w:pPr>
        <w:pStyle w:val="Paragraphedeliste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en-GB"/>
        </w:rPr>
      </w:pPr>
      <w:r>
        <w:rPr>
          <w:lang w:val="en-GB"/>
        </w:rPr>
        <w:t>Postpon</w:t>
      </w:r>
      <w:r w:rsidR="00B0643C">
        <w:rPr>
          <w:lang w:val="en-GB"/>
        </w:rPr>
        <w:t>e</w:t>
      </w:r>
      <w:r>
        <w:rPr>
          <w:lang w:val="en-GB"/>
        </w:rPr>
        <w:t xml:space="preserve"> </w:t>
      </w:r>
      <w:r w:rsidR="00542D61">
        <w:rPr>
          <w:lang w:val="en-GB"/>
        </w:rPr>
        <w:t xml:space="preserve">end-of-year exams and holding them </w:t>
      </w:r>
      <w:r w:rsidR="002843DF" w:rsidRPr="004F17D3">
        <w:rPr>
          <w:lang w:val="en-GB"/>
        </w:rPr>
        <w:t>early in the next academic year</w:t>
      </w:r>
      <w:r w:rsidR="00891114">
        <w:rPr>
          <w:lang w:val="en-GB"/>
        </w:rPr>
        <w:t>, after the crisis</w:t>
      </w:r>
      <w:r w:rsidR="00A450EF">
        <w:rPr>
          <w:lang w:val="en-GB"/>
        </w:rPr>
        <w:t>.</w:t>
      </w:r>
    </w:p>
    <w:p w14:paraId="5EA5101C" w14:textId="4A53EC2D" w:rsidR="002843DF" w:rsidRPr="002837E1" w:rsidRDefault="002843DF" w:rsidP="00A22C1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5F5BBA3" w14:textId="20368E35" w:rsidR="00E570A2" w:rsidRPr="00FF51C1" w:rsidRDefault="00E570A2" w:rsidP="00E570A2">
      <w:pPr>
        <w:pStyle w:val="Titre2"/>
        <w:ind w:left="0"/>
        <w:jc w:val="both"/>
        <w:rPr>
          <w:color w:val="11A0AA"/>
        </w:rPr>
      </w:pPr>
      <w:r w:rsidRPr="00FF51C1">
        <w:rPr>
          <w:color w:val="11A0AA"/>
        </w:rPr>
        <w:t xml:space="preserve">Ensure the continuity and proper functioning of the teacher salary system </w:t>
      </w:r>
    </w:p>
    <w:p w14:paraId="221A7EDE" w14:textId="59B2BBBE" w:rsidR="00ED251B" w:rsidRDefault="00ED251B" w:rsidP="0073662E">
      <w:pPr>
        <w:spacing w:after="0"/>
        <w:jc w:val="both"/>
        <w:rPr>
          <w:color w:val="222222"/>
          <w:lang w:val="en-US"/>
        </w:rPr>
      </w:pPr>
      <w:r>
        <w:rPr>
          <w:color w:val="222222"/>
          <w:lang w:val="en-US"/>
        </w:rPr>
        <w:t xml:space="preserve">Even when distance learning solutions replace in-school teaching in times of crisis, </w:t>
      </w:r>
      <w:r w:rsidR="00350024">
        <w:rPr>
          <w:color w:val="222222"/>
          <w:lang w:val="en-US"/>
        </w:rPr>
        <w:t xml:space="preserve">meaning that </w:t>
      </w:r>
      <w:hyperlink r:id="rId14" w:history="1">
        <w:r w:rsidR="00B23A6D" w:rsidRPr="00517388">
          <w:rPr>
            <w:rStyle w:val="Lienhypertexte"/>
            <w:lang w:val="en-US"/>
          </w:rPr>
          <w:t>teachers are not in the classroom</w:t>
        </w:r>
      </w:hyperlink>
      <w:r w:rsidR="00B23A6D">
        <w:rPr>
          <w:color w:val="222222"/>
          <w:lang w:val="en-US"/>
        </w:rPr>
        <w:t xml:space="preserve"> as normal, it is important </w:t>
      </w:r>
      <w:r w:rsidR="00350024">
        <w:rPr>
          <w:color w:val="222222"/>
          <w:lang w:val="en-US"/>
        </w:rPr>
        <w:t xml:space="preserve">for </w:t>
      </w:r>
      <w:proofErr w:type="spellStart"/>
      <w:r w:rsidR="00B23A6D">
        <w:rPr>
          <w:color w:val="222222"/>
          <w:lang w:val="en-US"/>
        </w:rPr>
        <w:t>MoEs</w:t>
      </w:r>
      <w:proofErr w:type="spellEnd"/>
      <w:r w:rsidR="00B23A6D">
        <w:rPr>
          <w:color w:val="222222"/>
          <w:lang w:val="en-US"/>
        </w:rPr>
        <w:t xml:space="preserve"> </w:t>
      </w:r>
      <w:r w:rsidR="00350024">
        <w:rPr>
          <w:color w:val="222222"/>
          <w:lang w:val="en-US"/>
        </w:rPr>
        <w:t xml:space="preserve">to </w:t>
      </w:r>
      <w:r w:rsidR="00B23A6D">
        <w:rPr>
          <w:color w:val="222222"/>
          <w:lang w:val="en-US"/>
        </w:rPr>
        <w:t xml:space="preserve">ensure that </w:t>
      </w:r>
      <w:hyperlink r:id="rId15" w:history="1">
        <w:r w:rsidR="00B23A6D" w:rsidRPr="00517388">
          <w:rPr>
            <w:rStyle w:val="Lienhypertexte"/>
            <w:lang w:val="en-US"/>
          </w:rPr>
          <w:t>teacher salary systems</w:t>
        </w:r>
      </w:hyperlink>
      <w:r w:rsidR="00B23A6D">
        <w:rPr>
          <w:color w:val="222222"/>
          <w:lang w:val="en-US"/>
        </w:rPr>
        <w:t xml:space="preserve"> function properly. </w:t>
      </w:r>
      <w:r w:rsidR="005307DA">
        <w:rPr>
          <w:color w:val="222222"/>
          <w:lang w:val="en-US"/>
        </w:rPr>
        <w:t>This is essential to ensure teachers’ motivation, welfare</w:t>
      </w:r>
      <w:r w:rsidR="00A11CE5">
        <w:rPr>
          <w:color w:val="222222"/>
          <w:lang w:val="en-US"/>
        </w:rPr>
        <w:t>,</w:t>
      </w:r>
      <w:r w:rsidR="005307DA">
        <w:rPr>
          <w:color w:val="222222"/>
          <w:lang w:val="en-US"/>
        </w:rPr>
        <w:t xml:space="preserve"> and security </w:t>
      </w:r>
      <w:r w:rsidR="00A11CE5">
        <w:rPr>
          <w:color w:val="222222"/>
          <w:lang w:val="en-US"/>
        </w:rPr>
        <w:t xml:space="preserve">during the </w:t>
      </w:r>
      <w:r w:rsidR="005307DA">
        <w:rPr>
          <w:color w:val="222222"/>
          <w:lang w:val="en-US"/>
        </w:rPr>
        <w:t>cris</w:t>
      </w:r>
      <w:r w:rsidR="00077CBC">
        <w:rPr>
          <w:color w:val="222222"/>
          <w:lang w:val="en-US"/>
        </w:rPr>
        <w:t>is</w:t>
      </w:r>
      <w:r w:rsidR="00A11CE5">
        <w:rPr>
          <w:color w:val="222222"/>
          <w:lang w:val="en-US"/>
        </w:rPr>
        <w:t>;</w:t>
      </w:r>
      <w:r w:rsidR="005307DA">
        <w:rPr>
          <w:color w:val="222222"/>
          <w:lang w:val="en-US"/>
        </w:rPr>
        <w:t xml:space="preserve"> guarantee students</w:t>
      </w:r>
      <w:r w:rsidR="00A11CE5">
        <w:rPr>
          <w:color w:val="222222"/>
          <w:lang w:val="en-US"/>
        </w:rPr>
        <w:t>’</w:t>
      </w:r>
      <w:r w:rsidR="005307DA">
        <w:rPr>
          <w:color w:val="222222"/>
          <w:lang w:val="en-US"/>
        </w:rPr>
        <w:t xml:space="preserve"> </w:t>
      </w:r>
      <w:r w:rsidR="00A11CE5">
        <w:rPr>
          <w:color w:val="222222"/>
          <w:lang w:val="en-US"/>
        </w:rPr>
        <w:t>continued</w:t>
      </w:r>
      <w:r w:rsidR="005307DA">
        <w:rPr>
          <w:color w:val="222222"/>
          <w:lang w:val="en-US"/>
        </w:rPr>
        <w:t xml:space="preserve"> learning</w:t>
      </w:r>
      <w:r w:rsidR="00A11CE5">
        <w:rPr>
          <w:color w:val="222222"/>
          <w:lang w:val="en-US"/>
        </w:rPr>
        <w:t>;</w:t>
      </w:r>
      <w:r w:rsidR="005307DA">
        <w:rPr>
          <w:color w:val="222222"/>
          <w:lang w:val="en-US"/>
        </w:rPr>
        <w:t xml:space="preserve"> and allow services to resume as normal once the crisis is over. </w:t>
      </w:r>
    </w:p>
    <w:p w14:paraId="0D0CA248" w14:textId="55EC95D6" w:rsidR="0052340C" w:rsidRDefault="0052340C" w:rsidP="0073662E">
      <w:pPr>
        <w:spacing w:after="0"/>
        <w:jc w:val="both"/>
        <w:rPr>
          <w:color w:val="222222"/>
          <w:lang w:val="en-US"/>
        </w:rPr>
      </w:pPr>
    </w:p>
    <w:p w14:paraId="2B42A9DE" w14:textId="33DFE83F" w:rsidR="006A2BF3" w:rsidRDefault="00A11CE5" w:rsidP="006A2BF3">
      <w:pPr>
        <w:pStyle w:val="Paragraphedeliste"/>
        <w:numPr>
          <w:ilvl w:val="0"/>
          <w:numId w:val="4"/>
        </w:numPr>
        <w:spacing w:after="120" w:line="240" w:lineRule="auto"/>
        <w:ind w:left="284" w:hanging="284"/>
        <w:jc w:val="both"/>
        <w:rPr>
          <w:color w:val="222222"/>
          <w:lang w:val="en-US"/>
        </w:rPr>
      </w:pPr>
      <w:r>
        <w:rPr>
          <w:lang w:val="en-US"/>
        </w:rPr>
        <w:t>A</w:t>
      </w:r>
      <w:r w:rsidR="00D66B17" w:rsidRPr="00461147">
        <w:rPr>
          <w:lang w:val="en-US"/>
        </w:rPr>
        <w:t>nticipate possible impacts of the crisis on the operation of teacher salary systems</w:t>
      </w:r>
      <w:r>
        <w:rPr>
          <w:lang w:val="en-US"/>
        </w:rPr>
        <w:t>, including a</w:t>
      </w:r>
      <w:r w:rsidR="00891114">
        <w:rPr>
          <w:color w:val="222222"/>
          <w:lang w:val="en-US"/>
        </w:rPr>
        <w:t>ssess</w:t>
      </w:r>
      <w:r>
        <w:rPr>
          <w:color w:val="222222"/>
          <w:lang w:val="en-US"/>
        </w:rPr>
        <w:t>ing</w:t>
      </w:r>
      <w:r w:rsidR="00891114" w:rsidRPr="006A2BF3">
        <w:rPr>
          <w:color w:val="222222"/>
          <w:lang w:val="en-US"/>
        </w:rPr>
        <w:t xml:space="preserve"> </w:t>
      </w:r>
      <w:r w:rsidR="006A2BF3" w:rsidRPr="006A2BF3">
        <w:rPr>
          <w:color w:val="222222"/>
          <w:lang w:val="en-US"/>
        </w:rPr>
        <w:t>and address</w:t>
      </w:r>
      <w:r>
        <w:rPr>
          <w:color w:val="222222"/>
          <w:lang w:val="en-US"/>
        </w:rPr>
        <w:t>ing</w:t>
      </w:r>
      <w:r w:rsidR="006A2BF3" w:rsidRPr="006A2BF3">
        <w:rPr>
          <w:color w:val="222222"/>
          <w:lang w:val="en-US"/>
        </w:rPr>
        <w:t xml:space="preserve"> </w:t>
      </w:r>
      <w:r>
        <w:rPr>
          <w:color w:val="222222"/>
          <w:lang w:val="en-US"/>
        </w:rPr>
        <w:t>issues of payment delivery</w:t>
      </w:r>
      <w:r w:rsidR="006A2BF3" w:rsidRPr="006A2BF3">
        <w:rPr>
          <w:color w:val="222222"/>
          <w:lang w:val="en-US"/>
        </w:rPr>
        <w:t xml:space="preserve">. </w:t>
      </w:r>
    </w:p>
    <w:p w14:paraId="1DD297F3" w14:textId="0AF443C4" w:rsidR="00806B3A" w:rsidRDefault="00A11CE5" w:rsidP="00457304">
      <w:pPr>
        <w:pStyle w:val="Paragraphedeliste"/>
        <w:numPr>
          <w:ilvl w:val="0"/>
          <w:numId w:val="4"/>
        </w:numPr>
        <w:spacing w:after="120" w:line="240" w:lineRule="auto"/>
        <w:ind w:left="284" w:hanging="284"/>
        <w:jc w:val="both"/>
        <w:rPr>
          <w:color w:val="222222"/>
          <w:lang w:val="en-US"/>
        </w:rPr>
      </w:pPr>
      <w:r>
        <w:rPr>
          <w:color w:val="222222"/>
          <w:lang w:val="en-US"/>
        </w:rPr>
        <w:t xml:space="preserve">Explore </w:t>
      </w:r>
      <w:r w:rsidR="00682A2E">
        <w:rPr>
          <w:color w:val="222222"/>
          <w:lang w:val="en-US"/>
        </w:rPr>
        <w:t>a</w:t>
      </w:r>
      <w:r w:rsidR="006A2BF3" w:rsidRPr="006A2BF3">
        <w:rPr>
          <w:color w:val="222222"/>
          <w:lang w:val="en-US"/>
        </w:rPr>
        <w:t>lternative</w:t>
      </w:r>
      <w:r w:rsidR="00682A2E">
        <w:rPr>
          <w:color w:val="222222"/>
          <w:lang w:val="en-US"/>
        </w:rPr>
        <w:t xml:space="preserve">, </w:t>
      </w:r>
      <w:r w:rsidR="003B6D4F">
        <w:rPr>
          <w:color w:val="222222"/>
          <w:lang w:val="en-US"/>
        </w:rPr>
        <w:t>and where necessary</w:t>
      </w:r>
      <w:r w:rsidR="006A2BF3" w:rsidRPr="006A2BF3">
        <w:rPr>
          <w:color w:val="222222"/>
          <w:lang w:val="en-US"/>
        </w:rPr>
        <w:t xml:space="preserve"> innovative</w:t>
      </w:r>
      <w:r w:rsidR="003B6D4F">
        <w:rPr>
          <w:color w:val="222222"/>
          <w:lang w:val="en-US"/>
        </w:rPr>
        <w:t>,</w:t>
      </w:r>
      <w:r w:rsidR="006A2BF3" w:rsidRPr="006A2BF3">
        <w:rPr>
          <w:color w:val="222222"/>
          <w:lang w:val="en-US"/>
        </w:rPr>
        <w:t xml:space="preserve"> </w:t>
      </w:r>
      <w:r w:rsidR="003B6D4F">
        <w:rPr>
          <w:color w:val="222222"/>
          <w:lang w:val="en-US"/>
        </w:rPr>
        <w:t xml:space="preserve">payment </w:t>
      </w:r>
      <w:r w:rsidR="006A2BF3" w:rsidRPr="006A2BF3">
        <w:rPr>
          <w:color w:val="222222"/>
          <w:lang w:val="en-US"/>
        </w:rPr>
        <w:t xml:space="preserve">solutions, such as mobile banking, </w:t>
      </w:r>
      <w:r w:rsidR="003B6D4F">
        <w:rPr>
          <w:color w:val="222222"/>
          <w:lang w:val="en-US"/>
        </w:rPr>
        <w:t>en</w:t>
      </w:r>
      <w:r w:rsidR="00A45BA7">
        <w:rPr>
          <w:color w:val="222222"/>
          <w:lang w:val="en-US"/>
        </w:rPr>
        <w:t>suring that all teachers will benefit.</w:t>
      </w:r>
      <w:r w:rsidR="004249ED">
        <w:rPr>
          <w:color w:val="222222"/>
          <w:lang w:val="en-US"/>
        </w:rPr>
        <w:t xml:space="preserve"> For teachers </w:t>
      </w:r>
      <w:r w:rsidR="003B6D4F">
        <w:rPr>
          <w:color w:val="222222"/>
          <w:lang w:val="en-US"/>
        </w:rPr>
        <w:t xml:space="preserve">lacking </w:t>
      </w:r>
      <w:r w:rsidR="004249ED">
        <w:rPr>
          <w:color w:val="222222"/>
          <w:lang w:val="en-US"/>
        </w:rPr>
        <w:t xml:space="preserve">access to </w:t>
      </w:r>
      <w:r w:rsidR="003B6D4F">
        <w:rPr>
          <w:color w:val="222222"/>
          <w:lang w:val="en-US"/>
        </w:rPr>
        <w:t>the required technology</w:t>
      </w:r>
      <w:r w:rsidR="004249ED">
        <w:rPr>
          <w:color w:val="222222"/>
          <w:lang w:val="en-US"/>
        </w:rPr>
        <w:t>, a</w:t>
      </w:r>
      <w:r w:rsidR="003B6D4F">
        <w:rPr>
          <w:color w:val="222222"/>
          <w:lang w:val="en-US"/>
        </w:rPr>
        <w:t xml:space="preserve"> different </w:t>
      </w:r>
      <w:r w:rsidR="00457304">
        <w:rPr>
          <w:color w:val="222222"/>
          <w:lang w:val="en-US"/>
        </w:rPr>
        <w:t xml:space="preserve">solution </w:t>
      </w:r>
      <w:r w:rsidR="003B6D4F">
        <w:rPr>
          <w:color w:val="222222"/>
          <w:lang w:val="en-US"/>
        </w:rPr>
        <w:t xml:space="preserve">will need to </w:t>
      </w:r>
      <w:r w:rsidR="00457304">
        <w:rPr>
          <w:color w:val="222222"/>
          <w:lang w:val="en-US"/>
        </w:rPr>
        <w:t>be provided.</w:t>
      </w:r>
    </w:p>
    <w:p w14:paraId="6BE6BBFB" w14:textId="2317D10F" w:rsidR="00806B3A" w:rsidRPr="00461147" w:rsidRDefault="00A11CE5" w:rsidP="00461147">
      <w:pPr>
        <w:pStyle w:val="Paragraphedeliste"/>
        <w:numPr>
          <w:ilvl w:val="0"/>
          <w:numId w:val="4"/>
        </w:numPr>
        <w:spacing w:after="120" w:line="240" w:lineRule="auto"/>
        <w:ind w:left="284" w:hanging="284"/>
        <w:jc w:val="both"/>
        <w:rPr>
          <w:color w:val="222222"/>
          <w:lang w:val="en-US"/>
        </w:rPr>
      </w:pPr>
      <w:r>
        <w:rPr>
          <w:color w:val="222222"/>
          <w:lang w:val="en-US"/>
        </w:rPr>
        <w:t>T</w:t>
      </w:r>
      <w:r w:rsidRPr="00461147">
        <w:rPr>
          <w:color w:val="222222"/>
          <w:lang w:val="en-US"/>
        </w:rPr>
        <w:t xml:space="preserve">ackle </w:t>
      </w:r>
      <w:r w:rsidR="00457304" w:rsidRPr="00461147">
        <w:rPr>
          <w:color w:val="222222"/>
          <w:lang w:val="en-US"/>
        </w:rPr>
        <w:t xml:space="preserve">issues </w:t>
      </w:r>
      <w:r w:rsidR="00F0580D" w:rsidRPr="00461147">
        <w:rPr>
          <w:color w:val="222222"/>
          <w:lang w:val="en-US"/>
        </w:rPr>
        <w:t xml:space="preserve">relating to </w:t>
      </w:r>
      <w:r w:rsidR="00457304" w:rsidRPr="00461147">
        <w:rPr>
          <w:color w:val="222222"/>
          <w:lang w:val="en-US"/>
        </w:rPr>
        <w:t>temporary employment status</w:t>
      </w:r>
      <w:r>
        <w:rPr>
          <w:color w:val="222222"/>
          <w:lang w:val="en-US"/>
        </w:rPr>
        <w:t>;</w:t>
      </w:r>
      <w:r w:rsidR="00221F24">
        <w:rPr>
          <w:color w:val="222222"/>
          <w:lang w:val="en-US"/>
        </w:rPr>
        <w:t xml:space="preserve"> </w:t>
      </w:r>
      <w:r>
        <w:rPr>
          <w:color w:val="222222"/>
          <w:lang w:val="en-US"/>
        </w:rPr>
        <w:t>ensure contract teachers’</w:t>
      </w:r>
      <w:r w:rsidR="00D90B36" w:rsidRPr="00461147">
        <w:rPr>
          <w:color w:val="222222"/>
          <w:lang w:val="en-US"/>
        </w:rPr>
        <w:t xml:space="preserve"> motivation</w:t>
      </w:r>
      <w:r>
        <w:rPr>
          <w:color w:val="222222"/>
          <w:lang w:val="en-US"/>
        </w:rPr>
        <w:t xml:space="preserve"> and</w:t>
      </w:r>
      <w:r w:rsidR="00D90B36" w:rsidRPr="00461147">
        <w:rPr>
          <w:color w:val="222222"/>
          <w:lang w:val="en-US"/>
        </w:rPr>
        <w:t xml:space="preserve"> welfare</w:t>
      </w:r>
      <w:r>
        <w:rPr>
          <w:color w:val="222222"/>
          <w:lang w:val="en-US"/>
        </w:rPr>
        <w:t>;</w:t>
      </w:r>
      <w:r w:rsidR="00D90B36" w:rsidRPr="00461147">
        <w:rPr>
          <w:color w:val="222222"/>
          <w:lang w:val="en-US"/>
        </w:rPr>
        <w:t xml:space="preserve"> and </w:t>
      </w:r>
      <w:r w:rsidR="00FD5D9B">
        <w:rPr>
          <w:color w:val="222222"/>
          <w:lang w:val="en-US"/>
        </w:rPr>
        <w:t xml:space="preserve">address salary difficulties </w:t>
      </w:r>
      <w:r>
        <w:rPr>
          <w:color w:val="222222"/>
          <w:lang w:val="en-US"/>
        </w:rPr>
        <w:t xml:space="preserve">by, for example, </w:t>
      </w:r>
      <w:r w:rsidR="00BD0906">
        <w:rPr>
          <w:color w:val="222222"/>
          <w:lang w:val="en-US"/>
        </w:rPr>
        <w:t>explor</w:t>
      </w:r>
      <w:r>
        <w:rPr>
          <w:color w:val="222222"/>
          <w:lang w:val="en-US"/>
        </w:rPr>
        <w:t>ing</w:t>
      </w:r>
      <w:r w:rsidR="00BD0906">
        <w:rPr>
          <w:color w:val="222222"/>
          <w:lang w:val="en-US"/>
        </w:rPr>
        <w:t xml:space="preserve"> the possibility of providing </w:t>
      </w:r>
      <w:r w:rsidR="00FD5D9B">
        <w:rPr>
          <w:color w:val="222222"/>
          <w:lang w:val="en-US"/>
        </w:rPr>
        <w:t>financial support</w:t>
      </w:r>
      <w:r w:rsidR="00806B3A">
        <w:rPr>
          <w:color w:val="222222"/>
          <w:lang w:val="en-US"/>
        </w:rPr>
        <w:t>.</w:t>
      </w:r>
    </w:p>
    <w:p w14:paraId="157F05F8" w14:textId="77777777" w:rsidR="004249ED" w:rsidRPr="0073662E" w:rsidRDefault="004249ED">
      <w:pPr>
        <w:pStyle w:val="Paragraphedeliste"/>
        <w:spacing w:after="120" w:line="240" w:lineRule="auto"/>
        <w:ind w:left="284"/>
        <w:jc w:val="both"/>
        <w:rPr>
          <w:i/>
          <w:iCs/>
          <w:color w:val="2E74B5" w:themeColor="accent5" w:themeShade="BF"/>
          <w:lang w:val="en-US"/>
        </w:rPr>
      </w:pPr>
    </w:p>
    <w:p w14:paraId="4514B3AA" w14:textId="77777777" w:rsidR="00E14B39" w:rsidRPr="003A6CA2" w:rsidRDefault="00E14B39" w:rsidP="00E14B39">
      <w:pPr>
        <w:pStyle w:val="Paragraphedeliste"/>
        <w:shd w:val="clear" w:color="auto" w:fill="E7E6E6" w:themeFill="background2"/>
        <w:spacing w:after="120" w:line="240" w:lineRule="auto"/>
        <w:ind w:left="0"/>
        <w:rPr>
          <w:b/>
          <w:bCs/>
          <w:sz w:val="20"/>
          <w:szCs w:val="20"/>
          <w:lang w:val="en-GB"/>
        </w:rPr>
      </w:pPr>
      <w:r w:rsidRPr="003A6CA2">
        <w:rPr>
          <w:b/>
          <w:bCs/>
          <w:sz w:val="20"/>
          <w:szCs w:val="20"/>
          <w:lang w:val="en-GB"/>
        </w:rPr>
        <w:t xml:space="preserve">References: </w:t>
      </w:r>
    </w:p>
    <w:p w14:paraId="6DD9FCA1" w14:textId="77777777" w:rsidR="00FF51C1" w:rsidRDefault="00760CC5" w:rsidP="00760CC5">
      <w:pPr>
        <w:shd w:val="clear" w:color="auto" w:fill="E7E6E6" w:themeFill="background2"/>
        <w:spacing w:after="120" w:line="240" w:lineRule="auto"/>
        <w:jc w:val="both"/>
        <w:rPr>
          <w:rFonts w:ascii="Calibri" w:eastAsia="Calibri" w:hAnsi="Calibri" w:cs="Calibri"/>
          <w:bCs/>
          <w:sz w:val="20"/>
          <w:szCs w:val="20"/>
          <w:lang w:val="en-GB"/>
        </w:rPr>
      </w:pPr>
      <w:r w:rsidRPr="004249ED">
        <w:rPr>
          <w:sz w:val="20"/>
          <w:szCs w:val="20"/>
          <w:lang w:val="en-GB"/>
        </w:rPr>
        <w:t>Dolan</w:t>
      </w:r>
      <w:r w:rsidRPr="004249ED">
        <w:rPr>
          <w:rFonts w:ascii="Calibri" w:eastAsia="Calibri" w:hAnsi="Calibri" w:cs="Calibri"/>
          <w:bCs/>
          <w:sz w:val="20"/>
          <w:szCs w:val="20"/>
          <w:lang w:val="en-GB"/>
        </w:rPr>
        <w:t xml:space="preserve">, J.; Golden, A.; </w:t>
      </w:r>
      <w:proofErr w:type="spellStart"/>
      <w:r w:rsidRPr="004249ED">
        <w:rPr>
          <w:rFonts w:ascii="Calibri" w:eastAsia="Calibri" w:hAnsi="Calibri" w:cs="Calibri"/>
          <w:bCs/>
          <w:sz w:val="20"/>
          <w:szCs w:val="20"/>
          <w:lang w:val="en-GB"/>
        </w:rPr>
        <w:t>Ndaruhutse</w:t>
      </w:r>
      <w:proofErr w:type="spellEnd"/>
      <w:r w:rsidRPr="004249ED">
        <w:rPr>
          <w:rFonts w:ascii="Calibri" w:eastAsia="Calibri" w:hAnsi="Calibri" w:cs="Calibri"/>
          <w:bCs/>
          <w:sz w:val="20"/>
          <w:szCs w:val="20"/>
          <w:lang w:val="en-GB"/>
        </w:rPr>
        <w:t xml:space="preserve">, S.; </w:t>
      </w:r>
      <w:proofErr w:type="spellStart"/>
      <w:r w:rsidRPr="004249ED">
        <w:rPr>
          <w:rFonts w:ascii="Calibri" w:eastAsia="Calibri" w:hAnsi="Calibri" w:cs="Calibri"/>
          <w:bCs/>
          <w:sz w:val="20"/>
          <w:szCs w:val="20"/>
          <w:lang w:val="en-GB"/>
        </w:rPr>
        <w:t>Withrop</w:t>
      </w:r>
      <w:proofErr w:type="spellEnd"/>
      <w:r w:rsidRPr="004249ED">
        <w:rPr>
          <w:rFonts w:ascii="Calibri" w:eastAsia="Calibri" w:hAnsi="Calibri" w:cs="Calibri"/>
          <w:bCs/>
          <w:sz w:val="20"/>
          <w:szCs w:val="20"/>
          <w:lang w:val="en-GB"/>
        </w:rPr>
        <w:t xml:space="preserve">, R. 2012.  </w:t>
      </w:r>
      <w:hyperlink r:id="rId16" w:history="1">
        <w:r w:rsidRPr="009653E0">
          <w:rPr>
            <w:rStyle w:val="Lienhypertexte"/>
            <w:rFonts w:ascii="Calibri" w:eastAsia="Calibri" w:hAnsi="Calibri" w:cs="Calibri"/>
            <w:bCs/>
            <w:i/>
            <w:sz w:val="20"/>
            <w:szCs w:val="20"/>
            <w:lang w:val="en-GB"/>
          </w:rPr>
          <w:t>Building effective teacher salary systems in fragile and conflict-affected states</w:t>
        </w:r>
      </w:hyperlink>
      <w:r w:rsidRPr="004249ED">
        <w:rPr>
          <w:rFonts w:ascii="Calibri" w:eastAsia="Calibri" w:hAnsi="Calibri" w:cs="Calibri"/>
          <w:bCs/>
          <w:sz w:val="20"/>
          <w:szCs w:val="20"/>
          <w:lang w:val="en-GB"/>
        </w:rPr>
        <w:t>. Washington</w:t>
      </w:r>
      <w:r>
        <w:rPr>
          <w:rFonts w:ascii="Calibri" w:eastAsia="Calibri" w:hAnsi="Calibri" w:cs="Calibri"/>
          <w:bCs/>
          <w:sz w:val="20"/>
          <w:szCs w:val="20"/>
          <w:lang w:val="en-GB"/>
        </w:rPr>
        <w:t>,</w:t>
      </w:r>
      <w:r w:rsidRPr="004249ED">
        <w:rPr>
          <w:rFonts w:ascii="Calibri" w:eastAsia="Calibri" w:hAnsi="Calibri" w:cs="Calibri"/>
          <w:bCs/>
          <w:sz w:val="20"/>
          <w:szCs w:val="20"/>
          <w:lang w:val="en-GB"/>
        </w:rPr>
        <w:t xml:space="preserve"> DC: The </w:t>
      </w:r>
      <w:proofErr w:type="spellStart"/>
      <w:r w:rsidRPr="004249ED">
        <w:rPr>
          <w:rFonts w:ascii="Calibri" w:eastAsia="Calibri" w:hAnsi="Calibri" w:cs="Calibri"/>
          <w:bCs/>
          <w:sz w:val="20"/>
          <w:szCs w:val="20"/>
          <w:lang w:val="en-GB"/>
        </w:rPr>
        <w:t>Center</w:t>
      </w:r>
      <w:proofErr w:type="spellEnd"/>
      <w:r w:rsidRPr="004249ED">
        <w:rPr>
          <w:rFonts w:ascii="Calibri" w:eastAsia="Calibri" w:hAnsi="Calibri" w:cs="Calibri"/>
          <w:bCs/>
          <w:sz w:val="20"/>
          <w:szCs w:val="20"/>
          <w:lang w:val="en-GB"/>
        </w:rPr>
        <w:t xml:space="preserve"> for Universal Education at Brookings. </w:t>
      </w:r>
    </w:p>
    <w:p w14:paraId="13012A17" w14:textId="0AEEAFB7" w:rsidR="00FF51C1" w:rsidRPr="003A6CA2" w:rsidRDefault="00FF51C1" w:rsidP="00760CC5">
      <w:pPr>
        <w:shd w:val="clear" w:color="auto" w:fill="E7E6E6" w:themeFill="background2"/>
        <w:spacing w:after="120" w:line="240" w:lineRule="auto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  <w:r w:rsidRPr="00FF51C1">
        <w:rPr>
          <w:rFonts w:ascii="Calibri" w:eastAsia="Calibri" w:hAnsi="Calibri" w:cs="Calibri"/>
          <w:bCs/>
          <w:sz w:val="20"/>
          <w:szCs w:val="20"/>
          <w:lang w:val="en-GB"/>
        </w:rPr>
        <w:t xml:space="preserve">IIEP-UNESCO. 2010. Guidebook for planning education in emergencies and reconstruction, 25–59. </w:t>
      </w:r>
      <w:r w:rsidRPr="003A6CA2">
        <w:rPr>
          <w:rFonts w:ascii="Calibri" w:eastAsia="Calibri" w:hAnsi="Calibri" w:cs="Calibri"/>
          <w:bCs/>
          <w:sz w:val="20"/>
          <w:szCs w:val="20"/>
          <w:lang w:val="es-ES"/>
        </w:rPr>
        <w:t>Paris: IIEP-UNESCO.</w:t>
      </w:r>
    </w:p>
    <w:p w14:paraId="18C321C8" w14:textId="10D0CAB6" w:rsidR="00760CC5" w:rsidRPr="00E570A2" w:rsidRDefault="00760CC5" w:rsidP="00760CC5">
      <w:pPr>
        <w:shd w:val="clear" w:color="auto" w:fill="E7E6E6" w:themeFill="background2"/>
        <w:spacing w:after="120" w:line="240" w:lineRule="auto"/>
        <w:rPr>
          <w:sz w:val="20"/>
          <w:szCs w:val="20"/>
          <w:lang w:val="en-GB"/>
        </w:rPr>
      </w:pPr>
      <w:r w:rsidRPr="00760CC5">
        <w:rPr>
          <w:sz w:val="20"/>
          <w:szCs w:val="20"/>
          <w:lang w:val="es-ES"/>
        </w:rPr>
        <w:t xml:space="preserve">Liberman, J.; Levin, V.; Luna-Bazaldua, D.; </w:t>
      </w:r>
      <w:proofErr w:type="spellStart"/>
      <w:r w:rsidRPr="00760CC5">
        <w:rPr>
          <w:sz w:val="20"/>
          <w:szCs w:val="20"/>
          <w:lang w:val="es-ES"/>
        </w:rPr>
        <w:t>Harnisch</w:t>
      </w:r>
      <w:proofErr w:type="spellEnd"/>
      <w:r w:rsidRPr="00760CC5">
        <w:rPr>
          <w:sz w:val="20"/>
          <w:szCs w:val="20"/>
          <w:lang w:val="es-ES"/>
        </w:rPr>
        <w:t xml:space="preserve">, M. 2020. </w:t>
      </w:r>
      <w:r w:rsidRPr="00F91573">
        <w:rPr>
          <w:sz w:val="20"/>
          <w:szCs w:val="20"/>
          <w:lang w:val="en-US"/>
        </w:rPr>
        <w:t>‘</w:t>
      </w:r>
      <w:hyperlink r:id="rId17" w:history="1">
        <w:r w:rsidRPr="00F91573">
          <w:rPr>
            <w:rStyle w:val="Lienhypertexte"/>
            <w:iCs/>
            <w:sz w:val="20"/>
            <w:szCs w:val="20"/>
            <w:lang w:val="en-GB"/>
          </w:rPr>
          <w:t>High-stakes examinations in the time of COVID-19: What is the best approach?</w:t>
        </w:r>
      </w:hyperlink>
      <w:r w:rsidRPr="00F91573">
        <w:rPr>
          <w:iCs/>
          <w:sz w:val="20"/>
          <w:szCs w:val="20"/>
          <w:lang w:val="en-GB"/>
        </w:rPr>
        <w:t>’</w:t>
      </w:r>
      <w:r w:rsidR="003B2975" w:rsidRPr="00E570A2">
        <w:rPr>
          <w:sz w:val="20"/>
          <w:szCs w:val="20"/>
          <w:lang w:val="en-GB"/>
        </w:rPr>
        <w:t xml:space="preserve"> </w:t>
      </w:r>
    </w:p>
    <w:p w14:paraId="47CF3182" w14:textId="07D9A76D" w:rsidR="009653E0" w:rsidRPr="00917B17" w:rsidRDefault="009653E0" w:rsidP="009653E0">
      <w:pPr>
        <w:pStyle w:val="Notedebasdepage"/>
        <w:shd w:val="clear" w:color="auto" w:fill="E7E6E6" w:themeFill="background2"/>
        <w:spacing w:after="120"/>
        <w:rPr>
          <w:lang w:val="en-GB"/>
        </w:rPr>
      </w:pPr>
      <w:r w:rsidRPr="00917B17">
        <w:rPr>
          <w:lang w:val="en-GB"/>
        </w:rPr>
        <w:t xml:space="preserve">OECD. 2012. </w:t>
      </w:r>
      <w:hyperlink r:id="rId18" w:history="1">
        <w:r w:rsidRPr="009653E0">
          <w:rPr>
            <w:rStyle w:val="Lienhypertexte"/>
            <w:i/>
            <w:iCs/>
            <w:lang w:val="en-GB"/>
          </w:rPr>
          <w:t>E-books: Developments and Policy Considerations</w:t>
        </w:r>
      </w:hyperlink>
      <w:r w:rsidRPr="00917B17">
        <w:rPr>
          <w:lang w:val="en-GB"/>
        </w:rPr>
        <w:t xml:space="preserve">. OECD Digital Economy Papers, No. 208. Paris: OECD. </w:t>
      </w:r>
    </w:p>
    <w:p w14:paraId="72AB22F6" w14:textId="4A8314DF" w:rsidR="009653E0" w:rsidRPr="00D103FC" w:rsidRDefault="000C454E" w:rsidP="00A727F2">
      <w:pPr>
        <w:shd w:val="clear" w:color="auto" w:fill="E7E6E6" w:themeFill="background2"/>
        <w:autoSpaceDE w:val="0"/>
        <w:autoSpaceDN w:val="0"/>
        <w:adjustRightInd w:val="0"/>
        <w:spacing w:after="120" w:line="240" w:lineRule="auto"/>
        <w:rPr>
          <w:lang w:val="en-GB"/>
        </w:rPr>
      </w:pPr>
      <w:proofErr w:type="spellStart"/>
      <w:r w:rsidRPr="00F91573">
        <w:rPr>
          <w:sz w:val="20"/>
          <w:lang w:val="en-GB"/>
        </w:rPr>
        <w:t>Scher</w:t>
      </w:r>
      <w:proofErr w:type="spellEnd"/>
      <w:r w:rsidRPr="00F91573">
        <w:rPr>
          <w:sz w:val="20"/>
          <w:lang w:val="en-GB"/>
        </w:rPr>
        <w:t>, L. 2020</w:t>
      </w:r>
      <w:r w:rsidRPr="00F91573">
        <w:rPr>
          <w:i/>
          <w:iCs/>
          <w:sz w:val="20"/>
          <w:lang w:val="en-GB"/>
        </w:rPr>
        <w:t xml:space="preserve">. </w:t>
      </w:r>
      <w:r w:rsidRPr="00F91573">
        <w:rPr>
          <w:iCs/>
          <w:sz w:val="20"/>
          <w:lang w:val="en-GB"/>
        </w:rPr>
        <w:t>‘</w:t>
      </w:r>
      <w:hyperlink r:id="rId19" w:history="1">
        <w:r w:rsidRPr="00F91573">
          <w:rPr>
            <w:rStyle w:val="Lienhypertexte"/>
            <w:iCs/>
            <w:sz w:val="20"/>
            <w:lang w:val="en-GB"/>
          </w:rPr>
          <w:t>Learning in the Midst of a Pandemic: Four Key Education Takeaways</w:t>
        </w:r>
      </w:hyperlink>
      <w:r>
        <w:rPr>
          <w:iCs/>
          <w:sz w:val="20"/>
          <w:lang w:val="en-GB"/>
        </w:rPr>
        <w:t>’</w:t>
      </w:r>
      <w:r w:rsidRPr="00F91573">
        <w:rPr>
          <w:sz w:val="20"/>
          <w:lang w:val="en-GB"/>
        </w:rPr>
        <w:t xml:space="preserve">. </w:t>
      </w:r>
    </w:p>
    <w:p w14:paraId="2A69364C" w14:textId="3F42C7FC" w:rsidR="009653E0" w:rsidRPr="00917B17" w:rsidRDefault="009653E0" w:rsidP="009653E0">
      <w:pPr>
        <w:pStyle w:val="Notedebasdepage"/>
        <w:shd w:val="clear" w:color="auto" w:fill="E7E6E6" w:themeFill="background2"/>
        <w:spacing w:after="120"/>
        <w:rPr>
          <w:lang w:val="en-GB"/>
        </w:rPr>
      </w:pPr>
      <w:proofErr w:type="spellStart"/>
      <w:r w:rsidRPr="00917B17">
        <w:rPr>
          <w:lang w:val="en-GB"/>
        </w:rPr>
        <w:t>Trucano</w:t>
      </w:r>
      <w:proofErr w:type="spellEnd"/>
      <w:r w:rsidRPr="00917B17">
        <w:rPr>
          <w:lang w:val="en-GB"/>
        </w:rPr>
        <w:t xml:space="preserve">, M. 2013. </w:t>
      </w:r>
      <w:hyperlink r:id="rId20" w:history="1">
        <w:r w:rsidRPr="009653E0">
          <w:rPr>
            <w:rStyle w:val="Lienhypertexte"/>
            <w:i/>
            <w:iCs/>
            <w:lang w:val="en-GB"/>
          </w:rPr>
          <w:t xml:space="preserve">Mobile learning and textbooks of the future, e-reading and </w:t>
        </w:r>
        <w:proofErr w:type="spellStart"/>
        <w:r w:rsidRPr="009653E0">
          <w:rPr>
            <w:rStyle w:val="Lienhypertexte"/>
            <w:i/>
            <w:iCs/>
            <w:lang w:val="en-GB"/>
          </w:rPr>
          <w:t>edtech</w:t>
        </w:r>
        <w:proofErr w:type="spellEnd"/>
        <w:r w:rsidRPr="009653E0">
          <w:rPr>
            <w:rStyle w:val="Lienhypertexte"/>
            <w:i/>
            <w:iCs/>
            <w:lang w:val="en-GB"/>
          </w:rPr>
          <w:t xml:space="preserve"> policies: Trends in technology use in education in developing countries</w:t>
        </w:r>
      </w:hyperlink>
      <w:r w:rsidRPr="00B0066D">
        <w:rPr>
          <w:i/>
          <w:iCs/>
          <w:lang w:val="en-GB"/>
        </w:rPr>
        <w:t>.</w:t>
      </w:r>
      <w:r w:rsidRPr="00917B17">
        <w:rPr>
          <w:lang w:val="en-GB"/>
        </w:rPr>
        <w:t xml:space="preserve"> Washington, DC: World Bank. </w:t>
      </w:r>
    </w:p>
    <w:p w14:paraId="2154D010" w14:textId="468DAFEE" w:rsidR="009653E0" w:rsidRPr="00917B17" w:rsidRDefault="009653E0" w:rsidP="009653E0">
      <w:pPr>
        <w:pStyle w:val="Notedebasdepage"/>
        <w:shd w:val="clear" w:color="auto" w:fill="E7E6E6" w:themeFill="background2"/>
        <w:spacing w:after="120"/>
        <w:rPr>
          <w:lang w:val="en-GB"/>
        </w:rPr>
      </w:pPr>
      <w:r w:rsidRPr="00917B17">
        <w:rPr>
          <w:lang w:val="en-GB"/>
        </w:rPr>
        <w:t>UNESCO. 2013</w:t>
      </w:r>
      <w:r w:rsidRPr="00E570A2">
        <w:rPr>
          <w:i/>
          <w:iCs/>
          <w:lang w:val="en-GB"/>
        </w:rPr>
        <w:t>a</w:t>
      </w:r>
      <w:r w:rsidRPr="00917B17">
        <w:rPr>
          <w:lang w:val="en-GB"/>
        </w:rPr>
        <w:t xml:space="preserve">. </w:t>
      </w:r>
      <w:hyperlink r:id="rId21" w:history="1">
        <w:r w:rsidRPr="009653E0">
          <w:rPr>
            <w:rStyle w:val="Lienhypertexte"/>
            <w:i/>
            <w:iCs/>
            <w:lang w:val="en-GB"/>
          </w:rPr>
          <w:t>Flexible learning strategies country case report: Regional meeting on alternative learning/schooling programmes for primary education to reach the unreached</w:t>
        </w:r>
      </w:hyperlink>
      <w:r w:rsidRPr="00B0066D">
        <w:rPr>
          <w:i/>
          <w:iCs/>
          <w:lang w:val="en-GB"/>
        </w:rPr>
        <w:t xml:space="preserve">. </w:t>
      </w:r>
      <w:r w:rsidRPr="00917B17">
        <w:rPr>
          <w:lang w:val="en-GB"/>
        </w:rPr>
        <w:t xml:space="preserve">Bangkok: UNESCO. </w:t>
      </w:r>
    </w:p>
    <w:p w14:paraId="4DBEB01B" w14:textId="465D0641" w:rsidR="009653E0" w:rsidRPr="00917B17" w:rsidRDefault="009653E0" w:rsidP="009653E0">
      <w:pPr>
        <w:pStyle w:val="Notedebasdepage"/>
        <w:shd w:val="clear" w:color="auto" w:fill="E7E6E6" w:themeFill="background2"/>
        <w:spacing w:after="120"/>
        <w:rPr>
          <w:lang w:val="en-GB"/>
        </w:rPr>
      </w:pPr>
      <w:r w:rsidRPr="00917B17">
        <w:rPr>
          <w:lang w:val="en-GB"/>
        </w:rPr>
        <w:t>UNESCO. 2013</w:t>
      </w:r>
      <w:r w:rsidRPr="00E570A2">
        <w:rPr>
          <w:i/>
          <w:iCs/>
          <w:lang w:val="en-GB"/>
        </w:rPr>
        <w:t>b</w:t>
      </w:r>
      <w:r w:rsidRPr="00917B17">
        <w:rPr>
          <w:lang w:val="en-GB"/>
        </w:rPr>
        <w:t xml:space="preserve">. </w:t>
      </w:r>
      <w:hyperlink r:id="rId22" w:history="1">
        <w:r w:rsidRPr="009653E0">
          <w:rPr>
            <w:rStyle w:val="Lienhypertexte"/>
            <w:i/>
            <w:iCs/>
            <w:lang w:val="en-GB"/>
          </w:rPr>
          <w:t>Policy guidelines for mobile learning</w:t>
        </w:r>
      </w:hyperlink>
      <w:r w:rsidRPr="00917B17">
        <w:rPr>
          <w:lang w:val="en-GB"/>
        </w:rPr>
        <w:t xml:space="preserve">. Paris: UNESCO. </w:t>
      </w:r>
    </w:p>
    <w:p w14:paraId="2776E1CA" w14:textId="2012FA52" w:rsidR="009653E0" w:rsidRPr="00917B17" w:rsidRDefault="009653E0" w:rsidP="009653E0">
      <w:pPr>
        <w:pStyle w:val="Notedebasdepage"/>
        <w:shd w:val="clear" w:color="auto" w:fill="E7E6E6" w:themeFill="background2"/>
        <w:spacing w:after="120"/>
        <w:rPr>
          <w:lang w:val="en-GB"/>
        </w:rPr>
      </w:pPr>
      <w:r w:rsidRPr="00917B17">
        <w:rPr>
          <w:lang w:val="en-GB"/>
        </w:rPr>
        <w:t xml:space="preserve">UNESCO. 2016. </w:t>
      </w:r>
      <w:hyperlink r:id="rId23" w:history="1">
        <w:r w:rsidRPr="009653E0">
          <w:rPr>
            <w:rStyle w:val="Lienhypertexte"/>
            <w:i/>
            <w:iCs/>
            <w:lang w:val="en-GB"/>
          </w:rPr>
          <w:t>UNESCO guidebook on textbook research and textbook revision</w:t>
        </w:r>
      </w:hyperlink>
      <w:r w:rsidRPr="00917B17">
        <w:rPr>
          <w:lang w:val="en-GB"/>
        </w:rPr>
        <w:t xml:space="preserve">. Paris: UNESCO. </w:t>
      </w:r>
    </w:p>
    <w:p w14:paraId="40E0E429" w14:textId="32F82756" w:rsidR="009653E0" w:rsidRPr="00E570A2" w:rsidRDefault="009653E0" w:rsidP="009653E0">
      <w:pPr>
        <w:shd w:val="clear" w:color="auto" w:fill="E7E6E6" w:themeFill="background2"/>
        <w:spacing w:after="120" w:line="240" w:lineRule="auto"/>
        <w:rPr>
          <w:sz w:val="20"/>
          <w:szCs w:val="20"/>
          <w:lang w:val="en-GB"/>
        </w:rPr>
      </w:pPr>
      <w:r w:rsidRPr="00E570A2">
        <w:rPr>
          <w:sz w:val="20"/>
          <w:szCs w:val="20"/>
          <w:lang w:val="en-GB"/>
        </w:rPr>
        <w:t xml:space="preserve">United Kingdom </w:t>
      </w:r>
      <w:r w:rsidRPr="00A727F2">
        <w:rPr>
          <w:iCs/>
          <w:sz w:val="20"/>
          <w:szCs w:val="20"/>
          <w:lang w:val="en-GB"/>
        </w:rPr>
        <w:t>Department of Education</w:t>
      </w:r>
      <w:r w:rsidRPr="00E570A2">
        <w:rPr>
          <w:i/>
          <w:iCs/>
          <w:sz w:val="20"/>
          <w:szCs w:val="20"/>
          <w:lang w:val="en-GB"/>
        </w:rPr>
        <w:t xml:space="preserve">. </w:t>
      </w:r>
      <w:r w:rsidRPr="00A727F2">
        <w:rPr>
          <w:iCs/>
          <w:sz w:val="20"/>
          <w:szCs w:val="20"/>
          <w:lang w:val="en-GB"/>
        </w:rPr>
        <w:t>2020</w:t>
      </w:r>
      <w:r w:rsidR="00760CC5" w:rsidRPr="00A727F2">
        <w:rPr>
          <w:i/>
          <w:iCs/>
          <w:sz w:val="20"/>
          <w:szCs w:val="20"/>
          <w:lang w:val="en-GB"/>
        </w:rPr>
        <w:t>a</w:t>
      </w:r>
      <w:r w:rsidRPr="00E570A2">
        <w:rPr>
          <w:i/>
          <w:iCs/>
          <w:sz w:val="20"/>
          <w:szCs w:val="20"/>
          <w:lang w:val="en-GB"/>
        </w:rPr>
        <w:t xml:space="preserve">. </w:t>
      </w:r>
      <w:r w:rsidR="00760CC5" w:rsidRPr="00A727F2">
        <w:rPr>
          <w:iCs/>
          <w:sz w:val="20"/>
          <w:szCs w:val="20"/>
          <w:lang w:val="en-GB"/>
        </w:rPr>
        <w:t>‘</w:t>
      </w:r>
      <w:hyperlink r:id="rId24" w:history="1">
        <w:r w:rsidRPr="00A727F2">
          <w:rPr>
            <w:rStyle w:val="Lienhypertexte"/>
            <w:iCs/>
            <w:sz w:val="20"/>
            <w:szCs w:val="20"/>
            <w:lang w:val="en-GB"/>
          </w:rPr>
          <w:t xml:space="preserve">Coronavirus (COVID-19): </w:t>
        </w:r>
        <w:r w:rsidR="00760CC5" w:rsidRPr="00A727F2">
          <w:rPr>
            <w:rStyle w:val="Lienhypertexte"/>
            <w:iCs/>
            <w:sz w:val="20"/>
            <w:szCs w:val="20"/>
            <w:lang w:val="en-GB"/>
          </w:rPr>
          <w:t>C</w:t>
        </w:r>
        <w:r w:rsidRPr="00A727F2">
          <w:rPr>
            <w:rStyle w:val="Lienhypertexte"/>
            <w:iCs/>
            <w:sz w:val="20"/>
            <w:szCs w:val="20"/>
            <w:lang w:val="en-GB"/>
          </w:rPr>
          <w:t>ancellation of GCSEs, AS and A levels in 2020</w:t>
        </w:r>
      </w:hyperlink>
      <w:r w:rsidR="00760CC5" w:rsidRPr="00A727F2">
        <w:rPr>
          <w:iCs/>
          <w:sz w:val="20"/>
          <w:szCs w:val="20"/>
          <w:lang w:val="en-GB"/>
        </w:rPr>
        <w:t>’</w:t>
      </w:r>
      <w:r w:rsidRPr="00760CC5">
        <w:rPr>
          <w:sz w:val="20"/>
          <w:szCs w:val="20"/>
          <w:lang w:val="en-GB"/>
        </w:rPr>
        <w:t>.</w:t>
      </w:r>
      <w:r w:rsidRPr="00E570A2">
        <w:rPr>
          <w:sz w:val="20"/>
          <w:szCs w:val="20"/>
          <w:lang w:val="en-GB"/>
        </w:rPr>
        <w:t xml:space="preserve"> </w:t>
      </w:r>
    </w:p>
    <w:p w14:paraId="0E9DBD4F" w14:textId="0D79B28C" w:rsidR="009653E0" w:rsidRDefault="00760CC5" w:rsidP="009653E0">
      <w:pPr>
        <w:shd w:val="clear" w:color="auto" w:fill="E7E6E6" w:themeFill="background2"/>
        <w:spacing w:after="120" w:line="240" w:lineRule="auto"/>
        <w:rPr>
          <w:sz w:val="20"/>
          <w:szCs w:val="20"/>
          <w:lang w:val="en-GB"/>
        </w:rPr>
      </w:pPr>
      <w:r w:rsidRPr="00E570A2">
        <w:rPr>
          <w:sz w:val="20"/>
          <w:szCs w:val="20"/>
          <w:lang w:val="en-GB"/>
        </w:rPr>
        <w:t xml:space="preserve">United Kingdom </w:t>
      </w:r>
      <w:r w:rsidRPr="00F91573">
        <w:rPr>
          <w:iCs/>
          <w:sz w:val="20"/>
          <w:szCs w:val="20"/>
          <w:lang w:val="en-GB"/>
        </w:rPr>
        <w:t xml:space="preserve">Department of </w:t>
      </w:r>
      <w:r w:rsidRPr="00FF51C1">
        <w:rPr>
          <w:iCs/>
          <w:sz w:val="20"/>
          <w:szCs w:val="20"/>
          <w:lang w:val="en-GB"/>
        </w:rPr>
        <w:t>Education</w:t>
      </w:r>
      <w:r w:rsidR="009653E0" w:rsidRPr="00FF51C1">
        <w:rPr>
          <w:i/>
          <w:iCs/>
          <w:sz w:val="20"/>
          <w:szCs w:val="20"/>
          <w:lang w:val="en-GB"/>
        </w:rPr>
        <w:t xml:space="preserve">. </w:t>
      </w:r>
      <w:r w:rsidR="009653E0" w:rsidRPr="00FF51C1">
        <w:rPr>
          <w:iCs/>
          <w:sz w:val="20"/>
          <w:szCs w:val="20"/>
          <w:lang w:val="en-GB"/>
        </w:rPr>
        <w:t>2020</w:t>
      </w:r>
      <w:r w:rsidRPr="00FF51C1">
        <w:rPr>
          <w:i/>
          <w:iCs/>
          <w:sz w:val="20"/>
          <w:szCs w:val="20"/>
          <w:lang w:val="en-GB"/>
        </w:rPr>
        <w:t>b</w:t>
      </w:r>
      <w:r w:rsidR="009653E0" w:rsidRPr="00FF51C1">
        <w:rPr>
          <w:iCs/>
          <w:sz w:val="20"/>
          <w:szCs w:val="20"/>
          <w:lang w:val="en-GB"/>
        </w:rPr>
        <w:t xml:space="preserve">. </w:t>
      </w:r>
      <w:r w:rsidRPr="00FF51C1">
        <w:rPr>
          <w:iCs/>
          <w:sz w:val="20"/>
          <w:szCs w:val="20"/>
          <w:lang w:val="en-GB"/>
        </w:rPr>
        <w:t>‘</w:t>
      </w:r>
      <w:hyperlink r:id="rId25" w:history="1">
        <w:r w:rsidR="009653E0" w:rsidRPr="00FF51C1">
          <w:rPr>
            <w:rStyle w:val="Lienhypertexte"/>
            <w:sz w:val="20"/>
            <w:szCs w:val="20"/>
            <w:lang w:val="en-US"/>
          </w:rPr>
          <w:t>Further details on exams and grades announced</w:t>
        </w:r>
      </w:hyperlink>
      <w:r w:rsidRPr="00FF51C1">
        <w:rPr>
          <w:iCs/>
          <w:sz w:val="20"/>
          <w:szCs w:val="20"/>
          <w:lang w:val="en-GB"/>
        </w:rPr>
        <w:t>’</w:t>
      </w:r>
      <w:r w:rsidR="009653E0" w:rsidRPr="00FF51C1">
        <w:rPr>
          <w:sz w:val="20"/>
          <w:szCs w:val="20"/>
          <w:lang w:val="en-GB"/>
        </w:rPr>
        <w:t>.</w:t>
      </w:r>
      <w:r w:rsidR="009653E0" w:rsidRPr="00E570A2">
        <w:rPr>
          <w:sz w:val="20"/>
          <w:szCs w:val="20"/>
          <w:lang w:val="en-GB"/>
        </w:rPr>
        <w:t xml:space="preserve"> </w:t>
      </w:r>
    </w:p>
    <w:p w14:paraId="7292023D" w14:textId="689D2313" w:rsidR="00E570A2" w:rsidRPr="004E2BEB" w:rsidRDefault="00FF51C1" w:rsidP="00FF51C1">
      <w:pPr>
        <w:shd w:val="clear" w:color="auto" w:fill="E7E6E6" w:themeFill="background2"/>
        <w:autoSpaceDE w:val="0"/>
        <w:autoSpaceDN w:val="0"/>
        <w:adjustRightInd w:val="0"/>
        <w:rPr>
          <w:lang w:val="en-GB"/>
        </w:rPr>
      </w:pPr>
      <w:r w:rsidRPr="003A6CA2">
        <w:rPr>
          <w:rFonts w:cstheme="minorHAnsi"/>
          <w:b/>
          <w:bCs/>
          <w:color w:val="000000"/>
          <w:sz w:val="20"/>
          <w:szCs w:val="20"/>
          <w:lang w:val="en-US"/>
        </w:rPr>
        <w:t>Access to all IIEP-UNESCO’s COVID-19 response briefs:</w:t>
      </w:r>
      <w:r w:rsidRPr="00FF51C1"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Pr="00FF51C1">
        <w:rPr>
          <w:rFonts w:cstheme="minorHAnsi"/>
          <w:color w:val="000000"/>
          <w:sz w:val="20"/>
          <w:szCs w:val="20"/>
          <w:lang w:val="en-US"/>
        </w:rPr>
        <w:br/>
      </w:r>
      <w:hyperlink r:id="rId26" w:history="1">
        <w:r w:rsidRPr="00FF51C1">
          <w:rPr>
            <w:rStyle w:val="Lienhypertexte"/>
            <w:rFonts w:cstheme="minorHAnsi"/>
            <w:sz w:val="20"/>
            <w:szCs w:val="20"/>
            <w:lang w:val="en-US"/>
          </w:rPr>
          <w:t>http://www.iiep.unesco.org/en/five-steps-support-education-all-time-covid-19</w:t>
        </w:r>
      </w:hyperlink>
      <w:r w:rsidRPr="00FF51C1">
        <w:rPr>
          <w:rFonts w:cstheme="minorHAnsi"/>
          <w:color w:val="000000"/>
          <w:sz w:val="20"/>
          <w:szCs w:val="20"/>
          <w:lang w:val="en-US"/>
        </w:rPr>
        <w:t xml:space="preserve"> </w:t>
      </w:r>
    </w:p>
    <w:sectPr w:rsidR="00E570A2" w:rsidRPr="004E2BEB" w:rsidSect="00FF51C1">
      <w:footerReference w:type="default" r:id="rId27"/>
      <w:headerReference w:type="first" r:id="rId28"/>
      <w:footerReference w:type="first" r:id="rId29"/>
      <w:pgSz w:w="11900" w:h="16840"/>
      <w:pgMar w:top="1440" w:right="1440" w:bottom="1440" w:left="1440" w:header="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2842F" w14:textId="77777777" w:rsidR="00E06A49" w:rsidRDefault="00E06A49" w:rsidP="00265081">
      <w:pPr>
        <w:spacing w:after="0" w:line="240" w:lineRule="auto"/>
      </w:pPr>
      <w:r>
        <w:separator/>
      </w:r>
    </w:p>
  </w:endnote>
  <w:endnote w:type="continuationSeparator" w:id="0">
    <w:p w14:paraId="13D027EE" w14:textId="77777777" w:rsidR="00E06A49" w:rsidRDefault="00E06A49" w:rsidP="0026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096D1" w14:textId="3243ED31" w:rsidR="003A6CA2" w:rsidRDefault="003A6CA2">
    <w:pPr>
      <w:pStyle w:val="Pieddepage"/>
    </w:pPr>
  </w:p>
  <w:p w14:paraId="37F180CC" w14:textId="72EF423F" w:rsidR="007B4AA0" w:rsidRDefault="003A6CA2">
    <w:pPr>
      <w:pStyle w:val="Pieddepage"/>
    </w:pPr>
    <w:r>
      <w:rPr>
        <w:rFonts w:cstheme="minorHAnsi"/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8E851" wp14:editId="0EFB29F2">
              <wp:simplePos x="0" y="0"/>
              <wp:positionH relativeFrom="page">
                <wp:posOffset>0</wp:posOffset>
              </wp:positionH>
              <wp:positionV relativeFrom="paragraph">
                <wp:posOffset>533400</wp:posOffset>
              </wp:positionV>
              <wp:extent cx="7572375" cy="76200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76200"/>
                      </a:xfrm>
                      <a:prstGeom prst="rect">
                        <a:avLst/>
                      </a:prstGeom>
                      <a:solidFill>
                        <a:srgbClr val="11A0B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2AA831" id="Rectangle 3" o:spid="_x0000_s1026" style="position:absolute;margin-left:0;margin-top:42pt;width:596.25pt;height: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" fillcolor="#11a0b3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8952A" w14:textId="3F925A09" w:rsidR="003A6CA2" w:rsidRDefault="003A6CA2">
    <w:pPr>
      <w:pStyle w:val="Pieddepage"/>
    </w:pPr>
  </w:p>
  <w:p w14:paraId="0522663B" w14:textId="6C94D7C5" w:rsidR="003A6CA2" w:rsidRDefault="003A6CA2">
    <w:pPr>
      <w:pStyle w:val="Pieddepage"/>
    </w:pPr>
    <w:r>
      <w:rPr>
        <w:rFonts w:cstheme="minorHAnsi"/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4DC915" wp14:editId="25268BDE">
              <wp:simplePos x="0" y="0"/>
              <wp:positionH relativeFrom="page">
                <wp:align>left</wp:align>
              </wp:positionH>
              <wp:positionV relativeFrom="paragraph">
                <wp:posOffset>524510</wp:posOffset>
              </wp:positionV>
              <wp:extent cx="7572375" cy="762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76200"/>
                      </a:xfrm>
                      <a:prstGeom prst="rect">
                        <a:avLst/>
                      </a:prstGeom>
                      <a:solidFill>
                        <a:srgbClr val="11A0B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1A4B4B" id="Rectangle 1" o:spid="_x0000_s1026" style="position:absolute;margin-left:0;margin-top:41.3pt;width:596.25pt;height:6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" fillcolor="#11a0b3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F9C10" w14:textId="77777777" w:rsidR="00E06A49" w:rsidRDefault="00E06A49" w:rsidP="00265081">
      <w:pPr>
        <w:spacing w:after="0" w:line="240" w:lineRule="auto"/>
      </w:pPr>
      <w:r>
        <w:separator/>
      </w:r>
    </w:p>
  </w:footnote>
  <w:footnote w:type="continuationSeparator" w:id="0">
    <w:p w14:paraId="66E67EE5" w14:textId="77777777" w:rsidR="00E06A49" w:rsidRDefault="00E06A49" w:rsidP="0026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6F822" w14:textId="38702F77" w:rsidR="00FF51C1" w:rsidRDefault="00FF51C1" w:rsidP="00FF51C1">
    <w:pPr>
      <w:pStyle w:val="En-tte"/>
      <w:ind w:left="-1418"/>
    </w:pPr>
    <w:r>
      <w:rPr>
        <w:noProof/>
      </w:rPr>
      <w:drawing>
        <wp:inline distT="0" distB="0" distL="0" distR="0" wp14:anchorId="42D9C72A" wp14:editId="62481916">
          <wp:extent cx="7642715" cy="2320109"/>
          <wp:effectExtent l="0" t="0" r="0" b="444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715" cy="2320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431E1"/>
    <w:multiLevelType w:val="hybridMultilevel"/>
    <w:tmpl w:val="649086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A6FB0"/>
    <w:multiLevelType w:val="hybridMultilevel"/>
    <w:tmpl w:val="5FC48090"/>
    <w:lvl w:ilvl="0" w:tplc="32BA626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880045"/>
    <w:multiLevelType w:val="hybridMultilevel"/>
    <w:tmpl w:val="5698797E"/>
    <w:lvl w:ilvl="0" w:tplc="62D0453A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34ED5"/>
    <w:multiLevelType w:val="hybridMultilevel"/>
    <w:tmpl w:val="137A8FE8"/>
    <w:lvl w:ilvl="0" w:tplc="79089C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21BEE"/>
    <w:multiLevelType w:val="hybridMultilevel"/>
    <w:tmpl w:val="776E3D5A"/>
    <w:lvl w:ilvl="0" w:tplc="6322A81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92C8E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F0944B6"/>
    <w:multiLevelType w:val="hybridMultilevel"/>
    <w:tmpl w:val="93D27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75B68"/>
    <w:multiLevelType w:val="hybridMultilevel"/>
    <w:tmpl w:val="B826226E"/>
    <w:lvl w:ilvl="0" w:tplc="7C5C67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95A69"/>
    <w:multiLevelType w:val="hybridMultilevel"/>
    <w:tmpl w:val="78D03B1A"/>
    <w:lvl w:ilvl="0" w:tplc="040C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8" w15:restartNumberingAfterBreak="0">
    <w:nsid w:val="718A13A7"/>
    <w:multiLevelType w:val="hybridMultilevel"/>
    <w:tmpl w:val="18024C50"/>
    <w:lvl w:ilvl="0" w:tplc="41EA23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78"/>
    <w:rsid w:val="0001200C"/>
    <w:rsid w:val="00012AB2"/>
    <w:rsid w:val="00077CBC"/>
    <w:rsid w:val="0009074B"/>
    <w:rsid w:val="00097234"/>
    <w:rsid w:val="000A0910"/>
    <w:rsid w:val="000A2104"/>
    <w:rsid w:val="000C29B3"/>
    <w:rsid w:val="000C454E"/>
    <w:rsid w:val="000F41D3"/>
    <w:rsid w:val="00115538"/>
    <w:rsid w:val="001178A2"/>
    <w:rsid w:val="00136DF3"/>
    <w:rsid w:val="00136F6D"/>
    <w:rsid w:val="00162F32"/>
    <w:rsid w:val="001B3A85"/>
    <w:rsid w:val="001E2F1D"/>
    <w:rsid w:val="001F673A"/>
    <w:rsid w:val="00202940"/>
    <w:rsid w:val="00221F24"/>
    <w:rsid w:val="002314C1"/>
    <w:rsid w:val="00232A25"/>
    <w:rsid w:val="00244072"/>
    <w:rsid w:val="00245A86"/>
    <w:rsid w:val="00265081"/>
    <w:rsid w:val="002657EF"/>
    <w:rsid w:val="00266798"/>
    <w:rsid w:val="00266AF6"/>
    <w:rsid w:val="002745CE"/>
    <w:rsid w:val="00277DF7"/>
    <w:rsid w:val="002837E1"/>
    <w:rsid w:val="002843DF"/>
    <w:rsid w:val="0028493B"/>
    <w:rsid w:val="00286AF1"/>
    <w:rsid w:val="00290CC9"/>
    <w:rsid w:val="00292AAA"/>
    <w:rsid w:val="002A1DC1"/>
    <w:rsid w:val="002B7892"/>
    <w:rsid w:val="002E2AE7"/>
    <w:rsid w:val="002E424D"/>
    <w:rsid w:val="002F0140"/>
    <w:rsid w:val="00300D81"/>
    <w:rsid w:val="003038BF"/>
    <w:rsid w:val="003178D5"/>
    <w:rsid w:val="00350024"/>
    <w:rsid w:val="003A6CA2"/>
    <w:rsid w:val="003A73D8"/>
    <w:rsid w:val="003B2975"/>
    <w:rsid w:val="003B36A0"/>
    <w:rsid w:val="003B6D4F"/>
    <w:rsid w:val="003E0D72"/>
    <w:rsid w:val="003F038C"/>
    <w:rsid w:val="003F132B"/>
    <w:rsid w:val="00404726"/>
    <w:rsid w:val="00406E07"/>
    <w:rsid w:val="0042314C"/>
    <w:rsid w:val="004249ED"/>
    <w:rsid w:val="0043035C"/>
    <w:rsid w:val="00441DC6"/>
    <w:rsid w:val="00447C80"/>
    <w:rsid w:val="0045111F"/>
    <w:rsid w:val="004567F7"/>
    <w:rsid w:val="00457304"/>
    <w:rsid w:val="00461147"/>
    <w:rsid w:val="00464E69"/>
    <w:rsid w:val="00465FB8"/>
    <w:rsid w:val="00471E68"/>
    <w:rsid w:val="00476274"/>
    <w:rsid w:val="00481FA4"/>
    <w:rsid w:val="00483FC2"/>
    <w:rsid w:val="00486610"/>
    <w:rsid w:val="0049758B"/>
    <w:rsid w:val="004A04B6"/>
    <w:rsid w:val="004B2F8E"/>
    <w:rsid w:val="004E18BA"/>
    <w:rsid w:val="004E2BEB"/>
    <w:rsid w:val="004E7D30"/>
    <w:rsid w:val="004F17D3"/>
    <w:rsid w:val="00517388"/>
    <w:rsid w:val="0052340C"/>
    <w:rsid w:val="005307DA"/>
    <w:rsid w:val="00540925"/>
    <w:rsid w:val="00542D61"/>
    <w:rsid w:val="0054477C"/>
    <w:rsid w:val="005762C8"/>
    <w:rsid w:val="005847D4"/>
    <w:rsid w:val="005A05C9"/>
    <w:rsid w:val="005A19BF"/>
    <w:rsid w:val="005B4860"/>
    <w:rsid w:val="005D70AA"/>
    <w:rsid w:val="005E4AA6"/>
    <w:rsid w:val="005F6616"/>
    <w:rsid w:val="00613B57"/>
    <w:rsid w:val="00615BCB"/>
    <w:rsid w:val="00617C24"/>
    <w:rsid w:val="00622E94"/>
    <w:rsid w:val="0062760F"/>
    <w:rsid w:val="00631A75"/>
    <w:rsid w:val="00632107"/>
    <w:rsid w:val="00646A92"/>
    <w:rsid w:val="00663F70"/>
    <w:rsid w:val="0066644B"/>
    <w:rsid w:val="00681A92"/>
    <w:rsid w:val="00682A2E"/>
    <w:rsid w:val="00684627"/>
    <w:rsid w:val="0068500D"/>
    <w:rsid w:val="006A2BF3"/>
    <w:rsid w:val="006A615A"/>
    <w:rsid w:val="006E1F80"/>
    <w:rsid w:val="006E222E"/>
    <w:rsid w:val="006E2D1C"/>
    <w:rsid w:val="006F0C43"/>
    <w:rsid w:val="00716AAD"/>
    <w:rsid w:val="00733F10"/>
    <w:rsid w:val="0073662E"/>
    <w:rsid w:val="00736D87"/>
    <w:rsid w:val="0073797B"/>
    <w:rsid w:val="00760CC5"/>
    <w:rsid w:val="00790CFC"/>
    <w:rsid w:val="007B3FE0"/>
    <w:rsid w:val="007B4AA0"/>
    <w:rsid w:val="007D21B0"/>
    <w:rsid w:val="007F2942"/>
    <w:rsid w:val="00806B3A"/>
    <w:rsid w:val="008510BA"/>
    <w:rsid w:val="00855701"/>
    <w:rsid w:val="00866293"/>
    <w:rsid w:val="00873474"/>
    <w:rsid w:val="00873BEE"/>
    <w:rsid w:val="00891114"/>
    <w:rsid w:val="00893E64"/>
    <w:rsid w:val="008A134F"/>
    <w:rsid w:val="008A467F"/>
    <w:rsid w:val="008A53C6"/>
    <w:rsid w:val="008B5AF4"/>
    <w:rsid w:val="008C2FDB"/>
    <w:rsid w:val="008C4D39"/>
    <w:rsid w:val="008C6547"/>
    <w:rsid w:val="008C763D"/>
    <w:rsid w:val="008F2D3E"/>
    <w:rsid w:val="00913A9A"/>
    <w:rsid w:val="00917B17"/>
    <w:rsid w:val="00923FC1"/>
    <w:rsid w:val="00943433"/>
    <w:rsid w:val="009527EE"/>
    <w:rsid w:val="0095657E"/>
    <w:rsid w:val="00960DCD"/>
    <w:rsid w:val="009653E0"/>
    <w:rsid w:val="00965ABE"/>
    <w:rsid w:val="00970DF2"/>
    <w:rsid w:val="00972154"/>
    <w:rsid w:val="00975187"/>
    <w:rsid w:val="00975B1E"/>
    <w:rsid w:val="00986063"/>
    <w:rsid w:val="00991E1A"/>
    <w:rsid w:val="00996480"/>
    <w:rsid w:val="009A4B78"/>
    <w:rsid w:val="009C44E7"/>
    <w:rsid w:val="009F237B"/>
    <w:rsid w:val="00A02C1B"/>
    <w:rsid w:val="00A11CE5"/>
    <w:rsid w:val="00A22C15"/>
    <w:rsid w:val="00A25463"/>
    <w:rsid w:val="00A25C2C"/>
    <w:rsid w:val="00A4492B"/>
    <w:rsid w:val="00A450EF"/>
    <w:rsid w:val="00A45BA7"/>
    <w:rsid w:val="00A62070"/>
    <w:rsid w:val="00A703DD"/>
    <w:rsid w:val="00A727F2"/>
    <w:rsid w:val="00A92F73"/>
    <w:rsid w:val="00A969F3"/>
    <w:rsid w:val="00AA364E"/>
    <w:rsid w:val="00AD34CA"/>
    <w:rsid w:val="00AD37DE"/>
    <w:rsid w:val="00B0066D"/>
    <w:rsid w:val="00B0643C"/>
    <w:rsid w:val="00B23A6D"/>
    <w:rsid w:val="00B5208F"/>
    <w:rsid w:val="00B818C2"/>
    <w:rsid w:val="00B83514"/>
    <w:rsid w:val="00BB53F3"/>
    <w:rsid w:val="00BB786E"/>
    <w:rsid w:val="00BD0906"/>
    <w:rsid w:val="00BD2C35"/>
    <w:rsid w:val="00C02004"/>
    <w:rsid w:val="00C06533"/>
    <w:rsid w:val="00C15003"/>
    <w:rsid w:val="00C40DAB"/>
    <w:rsid w:val="00C45D66"/>
    <w:rsid w:val="00C55B5C"/>
    <w:rsid w:val="00C57BF8"/>
    <w:rsid w:val="00C665F6"/>
    <w:rsid w:val="00C80CA1"/>
    <w:rsid w:val="00C82162"/>
    <w:rsid w:val="00C82F2E"/>
    <w:rsid w:val="00CD354B"/>
    <w:rsid w:val="00D02CD0"/>
    <w:rsid w:val="00D103FC"/>
    <w:rsid w:val="00D108F0"/>
    <w:rsid w:val="00D16975"/>
    <w:rsid w:val="00D31DFE"/>
    <w:rsid w:val="00D333DB"/>
    <w:rsid w:val="00D52F79"/>
    <w:rsid w:val="00D66B17"/>
    <w:rsid w:val="00D71632"/>
    <w:rsid w:val="00D90B36"/>
    <w:rsid w:val="00DA5CC3"/>
    <w:rsid w:val="00DC085F"/>
    <w:rsid w:val="00E06A49"/>
    <w:rsid w:val="00E14B39"/>
    <w:rsid w:val="00E34491"/>
    <w:rsid w:val="00E443ED"/>
    <w:rsid w:val="00E47BDC"/>
    <w:rsid w:val="00E56438"/>
    <w:rsid w:val="00E570A2"/>
    <w:rsid w:val="00E64023"/>
    <w:rsid w:val="00E6785C"/>
    <w:rsid w:val="00E70A06"/>
    <w:rsid w:val="00E91922"/>
    <w:rsid w:val="00E948F1"/>
    <w:rsid w:val="00E97C1D"/>
    <w:rsid w:val="00EA36C8"/>
    <w:rsid w:val="00EC19B1"/>
    <w:rsid w:val="00EC3CD7"/>
    <w:rsid w:val="00EC5B9B"/>
    <w:rsid w:val="00ED251B"/>
    <w:rsid w:val="00ED47FF"/>
    <w:rsid w:val="00F0580D"/>
    <w:rsid w:val="00F11DF0"/>
    <w:rsid w:val="00F14886"/>
    <w:rsid w:val="00F154DD"/>
    <w:rsid w:val="00F2773F"/>
    <w:rsid w:val="00F601FE"/>
    <w:rsid w:val="00F63B62"/>
    <w:rsid w:val="00F641B8"/>
    <w:rsid w:val="00F77899"/>
    <w:rsid w:val="00F80369"/>
    <w:rsid w:val="00FD5D9B"/>
    <w:rsid w:val="00FF51C1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D27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B78"/>
    <w:pPr>
      <w:spacing w:after="160" w:line="259" w:lineRule="auto"/>
    </w:pPr>
    <w:rPr>
      <w:sz w:val="22"/>
      <w:szCs w:val="22"/>
      <w:lang w:val="fr-FR"/>
    </w:rPr>
  </w:style>
  <w:style w:type="paragraph" w:styleId="Titre1">
    <w:name w:val="heading 1"/>
    <w:basedOn w:val="Normal"/>
    <w:link w:val="Titre1Car"/>
    <w:uiPriority w:val="9"/>
    <w:qFormat/>
    <w:rsid w:val="008C2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E97C1D"/>
    <w:pPr>
      <w:numPr>
        <w:numId w:val="6"/>
      </w:numPr>
      <w:outlineLvl w:val="1"/>
    </w:pPr>
    <w:rPr>
      <w:b/>
      <w:color w:val="000000" w:themeColor="text1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4B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111F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45111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C2FD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50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5081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265081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E97C1D"/>
    <w:rPr>
      <w:b/>
      <w:color w:val="000000" w:themeColor="text1"/>
      <w:sz w:val="28"/>
      <w:szCs w:val="2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B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4AA0"/>
    <w:rPr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B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4AA0"/>
    <w:rPr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0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072"/>
    <w:rPr>
      <w:rFonts w:ascii="Times New Roman" w:hAnsi="Times New Roman" w:cs="Times New Roman"/>
      <w:sz w:val="18"/>
      <w:szCs w:val="18"/>
      <w:lang w:val="fr-FR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136DF3"/>
    <w:rPr>
      <w:color w:val="605E5C"/>
      <w:shd w:val="clear" w:color="auto" w:fill="E1DFDD"/>
    </w:rPr>
  </w:style>
  <w:style w:type="paragraph" w:customStyle="1" w:styleId="m-9009924458456847299msolistparagraph">
    <w:name w:val="m_-9009924458456847299msolistparagraph"/>
    <w:basedOn w:val="Normal"/>
    <w:rsid w:val="0028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Policepardfaut"/>
    <w:rsid w:val="002843DF"/>
  </w:style>
  <w:style w:type="paragraph" w:styleId="Commentaire">
    <w:name w:val="annotation text"/>
    <w:basedOn w:val="Normal"/>
    <w:link w:val="CommentaireCar"/>
    <w:uiPriority w:val="99"/>
    <w:unhideWhenUsed/>
    <w:rsid w:val="00E570A2"/>
    <w:pPr>
      <w:spacing w:after="0" w:line="240" w:lineRule="auto"/>
      <w:ind w:left="720" w:hanging="360"/>
    </w:pPr>
    <w:rPr>
      <w:rFonts w:ascii="Calibri" w:eastAsia="Calibri" w:hAnsi="Calibri" w:cs="Calibri"/>
      <w:sz w:val="20"/>
      <w:szCs w:val="20"/>
      <w:lang w:val="en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E570A2"/>
    <w:rPr>
      <w:rFonts w:ascii="Calibri" w:eastAsia="Calibri" w:hAnsi="Calibri" w:cs="Calibri"/>
      <w:sz w:val="20"/>
      <w:szCs w:val="20"/>
      <w:lang w:val="en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8462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4627"/>
    <w:pPr>
      <w:spacing w:after="160"/>
      <w:ind w:left="0" w:firstLine="0"/>
    </w:pPr>
    <w:rPr>
      <w:rFonts w:asciiTheme="minorHAnsi" w:eastAsiaTheme="minorHAnsi" w:hAnsiTheme="minorHAnsi" w:cstheme="minorBidi"/>
      <w:b/>
      <w:bCs/>
      <w:lang w:val="fr-FR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4627"/>
    <w:rPr>
      <w:rFonts w:ascii="Calibri" w:eastAsia="Calibri" w:hAnsi="Calibri" w:cs="Calibri"/>
      <w:b/>
      <w:bCs/>
      <w:sz w:val="20"/>
      <w:szCs w:val="20"/>
      <w:lang w:val="fr-FR" w:eastAsia="fr-FR"/>
    </w:rPr>
  </w:style>
  <w:style w:type="paragraph" w:styleId="Rvision">
    <w:name w:val="Revision"/>
    <w:hidden/>
    <w:uiPriority w:val="99"/>
    <w:semiHidden/>
    <w:rsid w:val="004A04B6"/>
    <w:rPr>
      <w:sz w:val="22"/>
      <w:szCs w:val="22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657EF"/>
    <w:rPr>
      <w:color w:val="954F72" w:themeColor="followedHyperlink"/>
      <w:u w:val="single"/>
    </w:rPr>
  </w:style>
  <w:style w:type="character" w:customStyle="1" w:styleId="UnresolvedMention3">
    <w:name w:val="Unresolved Mention3"/>
    <w:basedOn w:val="Policepardfaut"/>
    <w:uiPriority w:val="99"/>
    <w:semiHidden/>
    <w:unhideWhenUsed/>
    <w:rsid w:val="002657EF"/>
    <w:rPr>
      <w:color w:val="605E5C"/>
      <w:shd w:val="clear" w:color="auto" w:fill="E1DFDD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A5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unesco.org/covid19/educationresponse/solutions" TargetMode="External"/><Relationship Id="rId13" Type="http://schemas.openxmlformats.org/officeDocument/2006/relationships/hyperlink" Target="https://gemreportunesco.wordpress.com/2020/03/20/could-coronavirus-shape-the-way-assessments-work-forever/" TargetMode="External"/><Relationship Id="rId18" Type="http://schemas.openxmlformats.org/officeDocument/2006/relationships/hyperlink" Target="https://ideas.repec.org/cgibin/get_doc.pl?urn=RePEc%3Aoec%3Astiaab%3A208en&amp;url=http%3A%2F%2Fdx.doi.org%2F10.1787%2F5k912zxg5svh-en" TargetMode="External"/><Relationship Id="rId26" Type="http://schemas.openxmlformats.org/officeDocument/2006/relationships/hyperlink" Target="http://www.iiep.unesco.org/en/five-steps-support-education-all-time-covid-19" TargetMode="External"/><Relationship Id="rId3" Type="http://schemas.openxmlformats.org/officeDocument/2006/relationships/styles" Target="styles.xml"/><Relationship Id="rId21" Type="http://schemas.openxmlformats.org/officeDocument/2006/relationships/hyperlink" Target="http://unesdoc.unesco.org/images/0022/002233/223325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nesdoc.unesco.org/ark:/48223/pf0000223325" TargetMode="External"/><Relationship Id="rId17" Type="http://schemas.openxmlformats.org/officeDocument/2006/relationships/hyperlink" Target="https://blogs.worldbank.org/education/high-stakes-school-exams-during-covid-19-coronavirus-what-best-approach" TargetMode="External"/><Relationship Id="rId25" Type="http://schemas.openxmlformats.org/officeDocument/2006/relationships/hyperlink" Target="https://www.gov.uk/government/news/further-details-on-exams-and-grades-announc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rookings.edu/wp-content/uploads/2016/06/09_CfBT_BrookingsReport.pdf" TargetMode="External"/><Relationship Id="rId20" Type="http://schemas.openxmlformats.org/officeDocument/2006/relationships/hyperlink" Target="http://siteresources.worldbank.org/EDUCATION/Resources/EduTechBlog2012_all_the_posts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unesco.org/covid19/educationresponse/nationalresponses" TargetMode="External"/><Relationship Id="rId24" Type="http://schemas.openxmlformats.org/officeDocument/2006/relationships/hyperlink" Target="http://www.gov.uk/government/publications/coronavirus-covid-19-cancellation-of-gcses-as-and-a-levels-in-2020/coronavirus-covid-19-cancellation-of-gcses-as-and-a-levels-in-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iep.unesco.org/en/teacher-career-reforms-around-globe-9161" TargetMode="External"/><Relationship Id="rId23" Type="http://schemas.openxmlformats.org/officeDocument/2006/relationships/hyperlink" Target="http://unesdoc.unesco.org/images/0011/001171/117188E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en.unesco.org/themes/building-knowledge-societies/oer" TargetMode="External"/><Relationship Id="rId19" Type="http://schemas.openxmlformats.org/officeDocument/2006/relationships/hyperlink" Target="http://www.mathematica.org/commentary/learning-in-the-midst-of-a-pandemic-four-key-education-takeaway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iep.unesco.org/en/three-ways-plan-equity-during-coronavirus-school-closures-13365" TargetMode="External"/><Relationship Id="rId14" Type="http://schemas.openxmlformats.org/officeDocument/2006/relationships/hyperlink" Target="https://en.unesco.org/news/covid-19-webinar-new-world-teachers-educations-frontline-workers" TargetMode="External"/><Relationship Id="rId22" Type="http://schemas.openxmlformats.org/officeDocument/2006/relationships/hyperlink" Target="http://unesdoc.unesco.org/images/0021/002196/219641E.pdf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A2538-DB38-42D0-86CE-1C2B8BAE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1206</Words>
  <Characters>6633</Characters>
  <Application>Microsoft Office Word</Application>
  <DocSecurity>2</DocSecurity>
  <Lines>55</Lines>
  <Paragraphs>15</Paragraphs>
  <ScaleCrop>false</ScaleCrop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2020-04-15T09:14:00Z</dcterms:created>
  <dcterms:modified xsi:type="dcterms:W3CDTF">2020-04-15T09:14:00Z</dcterms:modified>
</cp:coreProperties>
</file>